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8735" w14:textId="05B8D538" w:rsidR="0073277B" w:rsidRDefault="002B0ED3" w:rsidP="00DE2357">
      <w:pPr>
        <w:rPr>
          <w:lang w:val="en-US"/>
        </w:rPr>
      </w:pPr>
      <w:bookmarkStart w:id="0" w:name="_Toc193184340"/>
      <w:bookmarkStart w:id="1" w:name="_Toc215484086"/>
      <w:r>
        <w:rPr>
          <w:lang w:val="en-US"/>
        </w:rPr>
        <w:t xml:space="preserve">Sample </w:t>
      </w:r>
      <w:r w:rsidR="0073277B">
        <w:rPr>
          <w:lang w:val="en-US"/>
        </w:rPr>
        <w:t>SOA wording</w:t>
      </w:r>
    </w:p>
    <w:p w14:paraId="6EEA4D94" w14:textId="77777777" w:rsidR="0073277B" w:rsidRDefault="0073277B" w:rsidP="00DE2357">
      <w:pPr>
        <w:rPr>
          <w:lang w:val="en-US"/>
        </w:rPr>
      </w:pPr>
    </w:p>
    <w:p w14:paraId="06651414" w14:textId="3052AE02" w:rsidR="00DE2357" w:rsidRPr="0073277B" w:rsidRDefault="00C863CF" w:rsidP="00DE2357">
      <w:pPr>
        <w:rPr>
          <w:b/>
          <w:bCs/>
          <w:lang w:val="en-US"/>
        </w:rPr>
      </w:pPr>
      <w:r w:rsidRPr="0073277B">
        <w:rPr>
          <w:b/>
          <w:bCs/>
          <w:lang w:val="en-US"/>
        </w:rPr>
        <w:t xml:space="preserve">Optima </w:t>
      </w:r>
      <w:bookmarkEnd w:id="0"/>
      <w:bookmarkEnd w:id="1"/>
      <w:r w:rsidR="00EA328C" w:rsidRPr="0073277B">
        <w:rPr>
          <w:b/>
          <w:bCs/>
          <w:lang w:val="en-US"/>
        </w:rPr>
        <w:t>Portfolio Series</w:t>
      </w:r>
    </w:p>
    <w:p w14:paraId="6EBFEF3F" w14:textId="77777777" w:rsidR="00DE2357" w:rsidRPr="00DE2357" w:rsidRDefault="00DE2357" w:rsidP="00DE2357">
      <w:pPr>
        <w:rPr>
          <w:lang w:val="en-US"/>
        </w:rPr>
      </w:pPr>
    </w:p>
    <w:p w14:paraId="544A35A1" w14:textId="761C9B8A" w:rsidR="00DE2357" w:rsidRPr="00DE2357" w:rsidRDefault="00C863CF" w:rsidP="00DE2357">
      <w:pPr>
        <w:rPr>
          <w:b/>
          <w:bCs/>
          <w:lang w:val="en-US"/>
        </w:rPr>
      </w:pPr>
      <w:r>
        <w:rPr>
          <w:b/>
          <w:bCs/>
          <w:lang w:val="en-US"/>
        </w:rPr>
        <w:t xml:space="preserve">Optima </w:t>
      </w:r>
      <w:r w:rsidR="00EA328C">
        <w:rPr>
          <w:b/>
          <w:bCs/>
          <w:lang w:val="en-US"/>
        </w:rPr>
        <w:t>Portfolio Series</w:t>
      </w:r>
      <w:r w:rsidR="00DE2357" w:rsidRPr="00DE2357">
        <w:rPr>
          <w:b/>
          <w:bCs/>
          <w:lang w:val="en-US"/>
        </w:rPr>
        <w:t xml:space="preserve"> (</w:t>
      </w:r>
      <w:r w:rsidR="00DE2357" w:rsidRPr="002B0ED3">
        <w:rPr>
          <w:b/>
          <w:bCs/>
          <w:highlight w:val="yellow"/>
          <w:lang w:val="en-US"/>
        </w:rPr>
        <w:t>platform code of managed account</w:t>
      </w:r>
      <w:r w:rsidR="00DE2357" w:rsidRPr="00DE2357">
        <w:rPr>
          <w:b/>
          <w:bCs/>
          <w:lang w:val="en-US"/>
        </w:rPr>
        <w:t>)</w:t>
      </w:r>
    </w:p>
    <w:p w14:paraId="3DF83123" w14:textId="4C0390AC" w:rsidR="00DE2357" w:rsidRPr="00272E75" w:rsidRDefault="00DE2357" w:rsidP="00DE2357">
      <w:pPr>
        <w:rPr>
          <w:lang w:val="en-US"/>
        </w:rPr>
      </w:pPr>
      <w:r w:rsidRPr="00272E75">
        <w:rPr>
          <w:lang w:val="en-US"/>
        </w:rPr>
        <w:t xml:space="preserve">The </w:t>
      </w:r>
      <w:r w:rsidR="00C863CF" w:rsidRPr="00272E75">
        <w:rPr>
          <w:lang w:val="en-US"/>
        </w:rPr>
        <w:t>Optima</w:t>
      </w:r>
      <w:r w:rsidRPr="00272E75">
        <w:rPr>
          <w:lang w:val="en-US"/>
        </w:rPr>
        <w:t xml:space="preserve"> Portfolio maintains </w:t>
      </w:r>
      <w:r w:rsidR="00C863CF" w:rsidRPr="00272E75">
        <w:rPr>
          <w:lang w:val="en-US"/>
        </w:rPr>
        <w:t>Forbes Fava Seville’s</w:t>
      </w:r>
      <w:r w:rsidRPr="00272E75">
        <w:rPr>
          <w:lang w:val="en-US"/>
        </w:rPr>
        <w:t xml:space="preserve"> overarching investment philosophy as an advocate for active management </w:t>
      </w:r>
      <w:r w:rsidR="00A3062A">
        <w:rPr>
          <w:lang w:val="en-US"/>
        </w:rPr>
        <w:t xml:space="preserve">whilst </w:t>
      </w:r>
      <w:r w:rsidR="00D30FB4" w:rsidRPr="00272E75">
        <w:rPr>
          <w:lang w:val="en-US"/>
        </w:rPr>
        <w:t>enabl</w:t>
      </w:r>
      <w:r w:rsidR="00A3062A">
        <w:rPr>
          <w:lang w:val="en-US"/>
        </w:rPr>
        <w:t>ing</w:t>
      </w:r>
      <w:r w:rsidR="00D30FB4" w:rsidRPr="00272E75">
        <w:rPr>
          <w:lang w:val="en-US"/>
        </w:rPr>
        <w:t xml:space="preserve"> </w:t>
      </w:r>
      <w:r w:rsidRPr="00272E75">
        <w:rPr>
          <w:lang w:val="en-US"/>
        </w:rPr>
        <w:t xml:space="preserve">a somewhat </w:t>
      </w:r>
      <w:r w:rsidRPr="10D45AD9">
        <w:rPr>
          <w:lang w:val="en-US"/>
        </w:rPr>
        <w:t>cost</w:t>
      </w:r>
      <w:r w:rsidR="6D1FB341" w:rsidRPr="10D45AD9">
        <w:rPr>
          <w:lang w:val="en-US"/>
        </w:rPr>
        <w:t>-</w:t>
      </w:r>
      <w:r w:rsidRPr="10D45AD9">
        <w:rPr>
          <w:lang w:val="en-US"/>
        </w:rPr>
        <w:t>aware</w:t>
      </w:r>
      <w:r w:rsidRPr="00272E75">
        <w:rPr>
          <w:lang w:val="en-US"/>
        </w:rPr>
        <w:t xml:space="preserve"> approach. The portfolio invests across both defensive asset classes (such as fixed interest and cash) and growth asset classes (such as equities, property and alternatives).  </w:t>
      </w:r>
    </w:p>
    <w:p w14:paraId="7581E8C6" w14:textId="77777777" w:rsidR="00DE2357" w:rsidRPr="00272E75" w:rsidRDefault="00DE2357" w:rsidP="00DE2357">
      <w:pPr>
        <w:rPr>
          <w:lang w:val="en-US"/>
        </w:rPr>
      </w:pPr>
      <w:r w:rsidRPr="00272E75">
        <w:rPr>
          <w:lang w:val="en-US"/>
        </w:rPr>
        <w:t xml:space="preserve">Over the long term, the portfolio aims to have a 2% allocation to defensive assets and a 98% allocation to growth assets. However, these allocations will be actively managed within the allowed ranges depending on market conditions. The portfolio aims to provide exposure to a diverse range of quality active managers and some lower-cost managers within a reduced fee budget. Typically, cost reduction is achieved by: </w:t>
      </w:r>
    </w:p>
    <w:p w14:paraId="13CBE4B3" w14:textId="20020E6B" w:rsidR="00DE2357" w:rsidRPr="00272E75" w:rsidRDefault="00DE2357" w:rsidP="00DE2357">
      <w:pPr>
        <w:numPr>
          <w:ilvl w:val="0"/>
          <w:numId w:val="7"/>
        </w:numPr>
        <w:rPr>
          <w:lang w:val="en-GB"/>
        </w:rPr>
      </w:pPr>
      <w:r w:rsidRPr="00272E75">
        <w:rPr>
          <w:lang w:val="en-GB"/>
        </w:rPr>
        <w:t>reducing asset allocation to asset classes with higher associated fees</w:t>
      </w:r>
      <w:r w:rsidR="64174931" w:rsidRPr="28CC2449">
        <w:rPr>
          <w:lang w:val="en-GB"/>
        </w:rPr>
        <w:t>,</w:t>
      </w:r>
      <w:r w:rsidRPr="00272E75">
        <w:rPr>
          <w:lang w:val="en-GB"/>
        </w:rPr>
        <w:t xml:space="preserve"> whilst still maintaining the overall growth/defensive split, and </w:t>
      </w:r>
    </w:p>
    <w:p w14:paraId="101168BE" w14:textId="23A41679" w:rsidR="00DE2357" w:rsidRPr="00272E75" w:rsidRDefault="00DE2357" w:rsidP="00DE2357">
      <w:pPr>
        <w:numPr>
          <w:ilvl w:val="0"/>
          <w:numId w:val="7"/>
        </w:numPr>
        <w:rPr>
          <w:lang w:val="en-GB"/>
        </w:rPr>
      </w:pPr>
      <w:r w:rsidRPr="00272E75">
        <w:rPr>
          <w:lang w:val="en-GB"/>
        </w:rPr>
        <w:t>employing low-cost managers for sub-asset classes where outperformance potential is deemed to be the least attractive within a given asset class</w:t>
      </w:r>
      <w:r w:rsidR="3EA1F469" w:rsidRPr="27442E3C">
        <w:rPr>
          <w:lang w:val="en-GB"/>
        </w:rPr>
        <w:t>.</w:t>
      </w:r>
    </w:p>
    <w:p w14:paraId="06EBFFF8" w14:textId="43CA18FD" w:rsidR="00DE2357" w:rsidRDefault="00DE2357" w:rsidP="00DE2357">
      <w:pPr>
        <w:rPr>
          <w:lang w:val="en-US"/>
        </w:rPr>
      </w:pPr>
      <w:r w:rsidRPr="00272E75">
        <w:rPr>
          <w:lang w:val="en-US"/>
        </w:rPr>
        <w:t xml:space="preserve">The </w:t>
      </w:r>
      <w:r w:rsidR="00D30FB4" w:rsidRPr="00272E75">
        <w:rPr>
          <w:lang w:val="en-US"/>
        </w:rPr>
        <w:t>Optima High Growth Portfolio</w:t>
      </w:r>
      <w:r w:rsidRPr="00272E75">
        <w:rPr>
          <w:lang w:val="en-US"/>
        </w:rPr>
        <w:t xml:space="preserve"> is for investors who seek </w:t>
      </w:r>
      <w:r w:rsidR="27F3A90D" w:rsidRPr="21AADE4C">
        <w:rPr>
          <w:lang w:val="en-US"/>
        </w:rPr>
        <w:t xml:space="preserve">a </w:t>
      </w:r>
      <w:r w:rsidRPr="21AADE4C">
        <w:rPr>
          <w:lang w:val="en-US"/>
        </w:rPr>
        <w:t>high</w:t>
      </w:r>
      <w:r w:rsidRPr="00272E75">
        <w:rPr>
          <w:lang w:val="en-US"/>
        </w:rPr>
        <w:t xml:space="preserve"> level of capital growth. Investors should be prepared to accept a very high level of risk, where the investment objective is to outperform the benchmark, after fees, over a rolling seven-year period.</w:t>
      </w:r>
    </w:p>
    <w:p w14:paraId="3733B3B8" w14:textId="77777777" w:rsidR="008477D1" w:rsidRDefault="008477D1" w:rsidP="00DE2357">
      <w:pPr>
        <w:rPr>
          <w:lang w:val="en-US"/>
        </w:rPr>
      </w:pPr>
    </w:p>
    <w:tbl>
      <w:tblPr>
        <w:tblW w:w="9582" w:type="dxa"/>
        <w:jc w:val="center"/>
        <w:tblLayout w:type="fixed"/>
        <w:tblLook w:val="04A0" w:firstRow="1" w:lastRow="0" w:firstColumn="1" w:lastColumn="0" w:noHBand="0" w:noVBand="1"/>
      </w:tblPr>
      <w:tblGrid>
        <w:gridCol w:w="1838"/>
        <w:gridCol w:w="1548"/>
        <w:gridCol w:w="1549"/>
        <w:gridCol w:w="1549"/>
        <w:gridCol w:w="1549"/>
        <w:gridCol w:w="1549"/>
      </w:tblGrid>
      <w:tr w:rsidR="00DE2357" w:rsidRPr="00DE2357" w14:paraId="581FF503" w14:textId="77777777" w:rsidTr="008477D1">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26C77063" w14:textId="77777777" w:rsidR="00DE2357" w:rsidRPr="00DE2357" w:rsidRDefault="00DE2357" w:rsidP="00DE2357">
            <w:pPr>
              <w:rPr>
                <w:b/>
                <w:bCs/>
                <w:lang w:val="en-US"/>
              </w:rPr>
            </w:pPr>
            <w:r w:rsidRPr="00DE2357">
              <w:rPr>
                <w:b/>
                <w:bCs/>
                <w:lang w:val="en-US"/>
              </w:rPr>
              <w:t>Asset class</w:t>
            </w:r>
          </w:p>
        </w:tc>
        <w:tc>
          <w:tcPr>
            <w:tcW w:w="1548"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4C2F4EA5" w14:textId="77777777" w:rsidR="00DE2357" w:rsidRPr="00DE2357" w:rsidRDefault="00DE2357" w:rsidP="00DE2357">
            <w:pPr>
              <w:rPr>
                <w:b/>
                <w:bCs/>
                <w:lang w:val="en-US"/>
              </w:rPr>
            </w:pPr>
            <w:r w:rsidRPr="00DE2357">
              <w:rPr>
                <w:b/>
                <w:bCs/>
                <w:lang w:val="en-US"/>
              </w:rPr>
              <w:t>Australian Equities</w:t>
            </w:r>
          </w:p>
        </w:tc>
        <w:tc>
          <w:tcPr>
            <w:tcW w:w="1549"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4DE8F11F" w14:textId="77777777" w:rsidR="00DE2357" w:rsidRPr="00DE2357" w:rsidRDefault="00DE2357" w:rsidP="00DE2357">
            <w:pPr>
              <w:rPr>
                <w:b/>
                <w:bCs/>
                <w:lang w:val="en-US"/>
              </w:rPr>
            </w:pPr>
            <w:r w:rsidRPr="00DE2357">
              <w:rPr>
                <w:b/>
                <w:bCs/>
                <w:lang w:val="en-US"/>
              </w:rPr>
              <w:t>International Equities</w:t>
            </w:r>
          </w:p>
        </w:tc>
        <w:tc>
          <w:tcPr>
            <w:tcW w:w="1549"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7C7722A7" w14:textId="77777777" w:rsidR="00DE2357" w:rsidRPr="00DE2357" w:rsidRDefault="00DE2357" w:rsidP="00DE2357">
            <w:pPr>
              <w:rPr>
                <w:b/>
                <w:bCs/>
                <w:lang w:val="en-US"/>
              </w:rPr>
            </w:pPr>
            <w:r w:rsidRPr="00DE2357">
              <w:rPr>
                <w:b/>
                <w:bCs/>
                <w:lang w:val="en-US"/>
              </w:rPr>
              <w:t>Property &amp; Infrastructure</w:t>
            </w:r>
          </w:p>
        </w:tc>
        <w:tc>
          <w:tcPr>
            <w:tcW w:w="1549"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01794C32" w14:textId="77777777" w:rsidR="00DE2357" w:rsidRPr="00DE2357" w:rsidRDefault="00DE2357" w:rsidP="00DE2357">
            <w:pPr>
              <w:rPr>
                <w:b/>
                <w:bCs/>
                <w:lang w:val="en-US"/>
              </w:rPr>
            </w:pPr>
            <w:r w:rsidRPr="00DE2357">
              <w:rPr>
                <w:b/>
                <w:bCs/>
                <w:lang w:val="en-US"/>
              </w:rPr>
              <w:t>Fixed Interest</w:t>
            </w:r>
          </w:p>
        </w:tc>
        <w:tc>
          <w:tcPr>
            <w:tcW w:w="1549"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256CC074" w14:textId="77777777" w:rsidR="00DE2357" w:rsidRPr="00DE2357" w:rsidRDefault="00DE2357" w:rsidP="00DE2357">
            <w:pPr>
              <w:rPr>
                <w:b/>
                <w:bCs/>
                <w:lang w:val="en-US"/>
              </w:rPr>
            </w:pPr>
            <w:r w:rsidRPr="00DE2357">
              <w:rPr>
                <w:b/>
                <w:bCs/>
                <w:lang w:val="en-US"/>
              </w:rPr>
              <w:t>Cash</w:t>
            </w:r>
          </w:p>
        </w:tc>
      </w:tr>
      <w:tr w:rsidR="00DE2357" w:rsidRPr="00DE2357" w14:paraId="41DA6F46" w14:textId="77777777" w:rsidTr="008477D1">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203764"/>
            <w:vAlign w:val="center"/>
            <w:hideMark/>
          </w:tcPr>
          <w:p w14:paraId="5D075562" w14:textId="77777777" w:rsidR="00DE2357" w:rsidRPr="00DE2357" w:rsidRDefault="00DE2357" w:rsidP="00DE2357">
            <w:pPr>
              <w:rPr>
                <w:b/>
                <w:bCs/>
                <w:lang w:val="en-US"/>
              </w:rPr>
            </w:pPr>
            <w:r w:rsidRPr="00DE2357">
              <w:rPr>
                <w:b/>
                <w:bCs/>
                <w:lang w:val="en-US"/>
              </w:rPr>
              <w:t>Strategic Allocation</w:t>
            </w:r>
          </w:p>
        </w:tc>
        <w:tc>
          <w:tcPr>
            <w:tcW w:w="1548" w:type="dxa"/>
            <w:tcBorders>
              <w:top w:val="single" w:sz="4" w:space="0" w:color="auto"/>
              <w:left w:val="single" w:sz="4" w:space="0" w:color="auto"/>
              <w:bottom w:val="single" w:sz="4" w:space="0" w:color="auto"/>
              <w:right w:val="single" w:sz="4" w:space="0" w:color="auto"/>
            </w:tcBorders>
            <w:vAlign w:val="center"/>
            <w:hideMark/>
          </w:tcPr>
          <w:p w14:paraId="7D63784D" w14:textId="77B5240C" w:rsidR="00DE2357" w:rsidRPr="0073277B" w:rsidRDefault="0073277B" w:rsidP="00DE2357">
            <w:pPr>
              <w:rPr>
                <w:lang w:val="en-US"/>
              </w:rPr>
            </w:pPr>
            <w:r w:rsidRPr="0073277B">
              <w:rPr>
                <w:lang w:val="en-US"/>
              </w:rPr>
              <w:t>30.50</w:t>
            </w:r>
            <w:r w:rsidR="00DE2357" w:rsidRPr="0073277B">
              <w:rPr>
                <w:lang w:val="en-US"/>
              </w:rPr>
              <w:t>%</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C0B0ACC" w14:textId="2B611D76" w:rsidR="00DE2357" w:rsidRPr="0073277B" w:rsidRDefault="002F2AEF" w:rsidP="00DE2357">
            <w:pPr>
              <w:rPr>
                <w:lang w:val="en-US"/>
              </w:rPr>
            </w:pPr>
            <w:r w:rsidRPr="0073277B">
              <w:rPr>
                <w:lang w:val="en-US"/>
              </w:rPr>
              <w:t>63.50</w:t>
            </w:r>
            <w:r w:rsidR="00DE2357" w:rsidRPr="0073277B">
              <w:rPr>
                <w:lang w:val="en-US"/>
              </w:rPr>
              <w:t>%</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EAA1271" w14:textId="53F6EE3A" w:rsidR="00DE2357" w:rsidRPr="0073277B" w:rsidRDefault="002F2AEF" w:rsidP="00DE2357">
            <w:pPr>
              <w:rPr>
                <w:lang w:val="en-US"/>
              </w:rPr>
            </w:pPr>
            <w:r w:rsidRPr="0073277B">
              <w:rPr>
                <w:lang w:val="en-US"/>
              </w:rPr>
              <w:t>4.00</w:t>
            </w:r>
            <w:r w:rsidR="00DE2357" w:rsidRPr="0073277B">
              <w:rPr>
                <w:lang w:val="en-US"/>
              </w:rPr>
              <w:t>%</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D926D43" w14:textId="77777777" w:rsidR="00DE2357" w:rsidRPr="00DE2357" w:rsidRDefault="00DE2357" w:rsidP="00DE2357">
            <w:pPr>
              <w:rPr>
                <w:lang w:val="en-US"/>
              </w:rPr>
            </w:pPr>
            <w:r w:rsidRPr="00DE2357">
              <w:rPr>
                <w:lang w:val="en-US"/>
              </w:rPr>
              <w:t>0.00%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576990D" w14:textId="77777777" w:rsidR="00DE2357" w:rsidRPr="00DE2357" w:rsidRDefault="00DE2357" w:rsidP="00DE2357">
            <w:pPr>
              <w:rPr>
                <w:lang w:val="en-US"/>
              </w:rPr>
            </w:pPr>
            <w:r w:rsidRPr="00DE2357">
              <w:rPr>
                <w:lang w:val="en-US"/>
              </w:rPr>
              <w:t>2.00%</w:t>
            </w:r>
          </w:p>
        </w:tc>
      </w:tr>
      <w:tr w:rsidR="00DE2357" w:rsidRPr="00DE2357" w14:paraId="40E6F885" w14:textId="77777777" w:rsidTr="008477D1">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203764"/>
            <w:vAlign w:val="center"/>
            <w:hideMark/>
          </w:tcPr>
          <w:p w14:paraId="73EBAB51" w14:textId="77777777" w:rsidR="00DE2357" w:rsidRPr="00DE2357" w:rsidRDefault="00DE2357" w:rsidP="004F08F3">
            <w:pPr>
              <w:rPr>
                <w:b/>
                <w:bCs/>
                <w:lang w:val="en-US"/>
              </w:rPr>
            </w:pPr>
            <w:r w:rsidRPr="00DE2357">
              <w:rPr>
                <w:b/>
                <w:bCs/>
                <w:lang w:val="en-US"/>
              </w:rPr>
              <w:t>Benchmark</w:t>
            </w:r>
          </w:p>
        </w:tc>
        <w:tc>
          <w:tcPr>
            <w:tcW w:w="7744" w:type="dxa"/>
            <w:gridSpan w:val="5"/>
            <w:tcBorders>
              <w:top w:val="single" w:sz="4" w:space="0" w:color="auto"/>
              <w:left w:val="single" w:sz="4" w:space="0" w:color="auto"/>
              <w:bottom w:val="single" w:sz="4" w:space="0" w:color="auto"/>
              <w:right w:val="single" w:sz="4" w:space="0" w:color="auto"/>
            </w:tcBorders>
            <w:vAlign w:val="center"/>
            <w:hideMark/>
          </w:tcPr>
          <w:p w14:paraId="5D87212E" w14:textId="4B17FB7A" w:rsidR="004F08F3" w:rsidRPr="004F08F3" w:rsidRDefault="004F08F3" w:rsidP="004F08F3">
            <w:pPr>
              <w:pStyle w:val="Pa8"/>
              <w:spacing w:after="40"/>
              <w:rPr>
                <w:rFonts w:asciiTheme="minorHAnsi" w:hAnsiTheme="minorHAnsi"/>
                <w:kern w:val="2"/>
                <w:lang w:val="en-US"/>
              </w:rPr>
            </w:pPr>
            <w:r w:rsidRPr="004F08F3">
              <w:rPr>
                <w:rFonts w:asciiTheme="minorHAnsi" w:hAnsiTheme="minorHAnsi"/>
                <w:kern w:val="2"/>
                <w:lang w:val="en-US"/>
              </w:rPr>
              <w:t xml:space="preserve">Bloomberg </w:t>
            </w:r>
            <w:proofErr w:type="spellStart"/>
            <w:r w:rsidRPr="004F08F3">
              <w:rPr>
                <w:rFonts w:asciiTheme="minorHAnsi" w:hAnsiTheme="minorHAnsi"/>
                <w:kern w:val="2"/>
                <w:lang w:val="en-US"/>
              </w:rPr>
              <w:t>AusBond</w:t>
            </w:r>
            <w:proofErr w:type="spellEnd"/>
            <w:r w:rsidRPr="004F08F3">
              <w:rPr>
                <w:rFonts w:asciiTheme="minorHAnsi" w:hAnsiTheme="minorHAnsi"/>
                <w:kern w:val="2"/>
                <w:lang w:val="en-US"/>
              </w:rPr>
              <w:t xml:space="preserve"> Bank Bill Index + 4.25%</w:t>
            </w:r>
          </w:p>
          <w:p w14:paraId="331828EE" w14:textId="7D0755CE" w:rsidR="00DE2357" w:rsidRPr="00DE2357" w:rsidRDefault="00DE2357" w:rsidP="004F08F3">
            <w:pPr>
              <w:rPr>
                <w:lang w:val="en-US"/>
              </w:rPr>
            </w:pPr>
          </w:p>
        </w:tc>
      </w:tr>
    </w:tbl>
    <w:p w14:paraId="77D8D9C9" w14:textId="77777777" w:rsidR="00DE2357" w:rsidRDefault="00DE2357" w:rsidP="00DE2357">
      <w:pPr>
        <w:rPr>
          <w:lang w:val="en-US"/>
        </w:rPr>
      </w:pPr>
    </w:p>
    <w:p w14:paraId="2BF1B5F0" w14:textId="77777777" w:rsidR="008477D1" w:rsidRDefault="008477D1" w:rsidP="00DE2357">
      <w:pPr>
        <w:rPr>
          <w:lang w:val="en-US"/>
        </w:rPr>
      </w:pPr>
    </w:p>
    <w:p w14:paraId="376BFCE8" w14:textId="77777777" w:rsidR="008477D1" w:rsidRDefault="008477D1" w:rsidP="00DE2357">
      <w:pPr>
        <w:rPr>
          <w:lang w:val="en-US"/>
        </w:rPr>
      </w:pPr>
    </w:p>
    <w:p w14:paraId="4EAF2D09" w14:textId="77777777" w:rsidR="008477D1" w:rsidRDefault="008477D1" w:rsidP="00DE2357">
      <w:pPr>
        <w:rPr>
          <w:lang w:val="en-US"/>
        </w:rPr>
      </w:pPr>
    </w:p>
    <w:p w14:paraId="3A2A18DC" w14:textId="77777777" w:rsidR="008477D1" w:rsidRDefault="008477D1" w:rsidP="00DE2357">
      <w:pPr>
        <w:rPr>
          <w:lang w:val="en-US"/>
        </w:rPr>
      </w:pPr>
    </w:p>
    <w:p w14:paraId="5527DB32" w14:textId="77777777" w:rsidR="00DE2357" w:rsidRPr="00DE2357" w:rsidRDefault="00DE2357" w:rsidP="00DE2357">
      <w:pPr>
        <w:rPr>
          <w:b/>
          <w:bCs/>
          <w:lang w:val="en-US"/>
        </w:rPr>
      </w:pPr>
      <w:r w:rsidRPr="00DE2357">
        <w:rPr>
          <w:b/>
          <w:bCs/>
          <w:lang w:val="en-US"/>
        </w:rPr>
        <w:t>Investment Manager</w:t>
      </w:r>
    </w:p>
    <w:tbl>
      <w:tblPr>
        <w:tblW w:w="0" w:type="auto"/>
        <w:jc w:val="center"/>
        <w:tblLayout w:type="fixed"/>
        <w:tblLook w:val="04A0" w:firstRow="1" w:lastRow="0" w:firstColumn="1" w:lastColumn="0" w:noHBand="0" w:noVBand="1"/>
      </w:tblPr>
      <w:tblGrid>
        <w:gridCol w:w="1838"/>
        <w:gridCol w:w="7744"/>
      </w:tblGrid>
      <w:tr w:rsidR="00DE2357" w:rsidRPr="00DE2357" w14:paraId="4E724EE1" w14:textId="77777777">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7510EBA5" w14:textId="77777777" w:rsidR="00DE2357" w:rsidRPr="00DE2357" w:rsidRDefault="00DE2357" w:rsidP="00DE2357">
            <w:pPr>
              <w:rPr>
                <w:b/>
                <w:bCs/>
                <w:lang w:val="en-US"/>
              </w:rPr>
            </w:pPr>
            <w:r w:rsidRPr="00DE2357">
              <w:rPr>
                <w:b/>
                <w:bCs/>
                <w:lang w:val="en-US"/>
              </w:rPr>
              <w:t>Name</w:t>
            </w:r>
          </w:p>
        </w:tc>
        <w:tc>
          <w:tcPr>
            <w:tcW w:w="7744" w:type="dxa"/>
            <w:tcBorders>
              <w:top w:val="single" w:sz="4" w:space="0" w:color="auto"/>
              <w:left w:val="single" w:sz="4" w:space="0" w:color="auto"/>
              <w:bottom w:val="single" w:sz="4" w:space="0" w:color="auto"/>
              <w:right w:val="single" w:sz="4" w:space="0" w:color="auto"/>
            </w:tcBorders>
            <w:vAlign w:val="center"/>
            <w:hideMark/>
          </w:tcPr>
          <w:p w14:paraId="252D1B05" w14:textId="77777777" w:rsidR="00DE2357" w:rsidRPr="00DE2357" w:rsidRDefault="00DE2357" w:rsidP="00DE2357">
            <w:pPr>
              <w:rPr>
                <w:lang w:val="en-US"/>
              </w:rPr>
            </w:pPr>
            <w:r w:rsidRPr="00DE2357">
              <w:rPr>
                <w:lang w:val="en-US"/>
              </w:rPr>
              <w:t>Zenith Investment Partners Pty Ltd</w:t>
            </w:r>
          </w:p>
        </w:tc>
      </w:tr>
      <w:tr w:rsidR="00DE2357" w:rsidRPr="00DE2357" w14:paraId="74B5F0EB" w14:textId="77777777">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1248F332" w14:textId="77777777" w:rsidR="00DE2357" w:rsidRPr="00DE2357" w:rsidRDefault="00DE2357" w:rsidP="00DE2357">
            <w:pPr>
              <w:rPr>
                <w:b/>
                <w:bCs/>
                <w:lang w:val="en-US"/>
              </w:rPr>
            </w:pPr>
            <w:r w:rsidRPr="00DE2357">
              <w:rPr>
                <w:b/>
                <w:bCs/>
                <w:lang w:val="en-US"/>
              </w:rPr>
              <w:t>Address</w:t>
            </w:r>
          </w:p>
        </w:tc>
        <w:tc>
          <w:tcPr>
            <w:tcW w:w="7744" w:type="dxa"/>
            <w:tcBorders>
              <w:top w:val="single" w:sz="4" w:space="0" w:color="auto"/>
              <w:left w:val="single" w:sz="4" w:space="0" w:color="auto"/>
              <w:bottom w:val="single" w:sz="4" w:space="0" w:color="auto"/>
              <w:right w:val="single" w:sz="4" w:space="0" w:color="auto"/>
            </w:tcBorders>
            <w:vAlign w:val="center"/>
            <w:hideMark/>
          </w:tcPr>
          <w:p w14:paraId="13A67665" w14:textId="77777777" w:rsidR="00DE2357" w:rsidRPr="00DE2357" w:rsidRDefault="00DE2357" w:rsidP="00DE2357">
            <w:pPr>
              <w:rPr>
                <w:lang w:val="en-US"/>
              </w:rPr>
            </w:pPr>
            <w:r w:rsidRPr="00DE2357">
              <w:rPr>
                <w:lang w:val="en-US"/>
              </w:rPr>
              <w:t>Level 22, South at Queen &amp; Collins Tower, 379-390 Collins Street</w:t>
            </w:r>
          </w:p>
          <w:p w14:paraId="7418C120" w14:textId="77777777" w:rsidR="00DE2357" w:rsidRPr="00DE2357" w:rsidRDefault="00DE2357" w:rsidP="00DE2357">
            <w:pPr>
              <w:rPr>
                <w:lang w:val="en-US"/>
              </w:rPr>
            </w:pPr>
            <w:r w:rsidRPr="00DE2357">
              <w:rPr>
                <w:lang w:val="en-US"/>
              </w:rPr>
              <w:t>Melbourne VIC 3000</w:t>
            </w:r>
          </w:p>
        </w:tc>
      </w:tr>
      <w:tr w:rsidR="00DE2357" w:rsidRPr="00DE2357" w14:paraId="64D78767" w14:textId="77777777">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02E850CD" w14:textId="77777777" w:rsidR="00DE2357" w:rsidRPr="00DE2357" w:rsidRDefault="00DE2357" w:rsidP="00DE2357">
            <w:pPr>
              <w:rPr>
                <w:b/>
                <w:bCs/>
                <w:lang w:val="en-US"/>
              </w:rPr>
            </w:pPr>
            <w:r w:rsidRPr="00DE2357">
              <w:rPr>
                <w:b/>
                <w:bCs/>
                <w:lang w:val="en-US"/>
              </w:rPr>
              <w:t>ABN</w:t>
            </w:r>
          </w:p>
        </w:tc>
        <w:tc>
          <w:tcPr>
            <w:tcW w:w="7744" w:type="dxa"/>
            <w:tcBorders>
              <w:top w:val="single" w:sz="4" w:space="0" w:color="auto"/>
              <w:left w:val="single" w:sz="4" w:space="0" w:color="auto"/>
              <w:bottom w:val="single" w:sz="4" w:space="0" w:color="auto"/>
              <w:right w:val="single" w:sz="4" w:space="0" w:color="auto"/>
            </w:tcBorders>
            <w:vAlign w:val="center"/>
            <w:hideMark/>
          </w:tcPr>
          <w:p w14:paraId="25706B77" w14:textId="77777777" w:rsidR="00DE2357" w:rsidRPr="00DE2357" w:rsidRDefault="00DE2357" w:rsidP="00DE2357">
            <w:pPr>
              <w:rPr>
                <w:lang w:val="en-US"/>
              </w:rPr>
            </w:pPr>
            <w:r w:rsidRPr="00DE2357">
              <w:rPr>
                <w:lang w:val="en-US"/>
              </w:rPr>
              <w:t>27 103 132 672</w:t>
            </w:r>
          </w:p>
        </w:tc>
      </w:tr>
      <w:tr w:rsidR="00DE2357" w:rsidRPr="00DE2357" w14:paraId="3F202C57" w14:textId="77777777">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3B725CB9" w14:textId="77777777" w:rsidR="00DE2357" w:rsidRPr="00DE2357" w:rsidRDefault="00DE2357" w:rsidP="00DE2357">
            <w:pPr>
              <w:rPr>
                <w:b/>
                <w:bCs/>
                <w:lang w:val="en-US"/>
              </w:rPr>
            </w:pPr>
            <w:r w:rsidRPr="00DE2357">
              <w:rPr>
                <w:b/>
                <w:bCs/>
                <w:lang w:val="en-US"/>
              </w:rPr>
              <w:t>AFSL</w:t>
            </w:r>
          </w:p>
        </w:tc>
        <w:tc>
          <w:tcPr>
            <w:tcW w:w="7744" w:type="dxa"/>
            <w:tcBorders>
              <w:top w:val="single" w:sz="4" w:space="0" w:color="auto"/>
              <w:left w:val="single" w:sz="4" w:space="0" w:color="auto"/>
              <w:bottom w:val="single" w:sz="4" w:space="0" w:color="auto"/>
              <w:right w:val="single" w:sz="4" w:space="0" w:color="auto"/>
            </w:tcBorders>
            <w:vAlign w:val="center"/>
            <w:hideMark/>
          </w:tcPr>
          <w:p w14:paraId="2D5C0B09" w14:textId="77777777" w:rsidR="00DE2357" w:rsidRPr="00DE2357" w:rsidRDefault="00DE2357" w:rsidP="00DE2357">
            <w:pPr>
              <w:rPr>
                <w:lang w:val="en-US"/>
              </w:rPr>
            </w:pPr>
            <w:r w:rsidRPr="00DE2357">
              <w:rPr>
                <w:lang w:val="en-US"/>
              </w:rPr>
              <w:t>226872</w:t>
            </w:r>
          </w:p>
        </w:tc>
      </w:tr>
    </w:tbl>
    <w:p w14:paraId="5051D7CD" w14:textId="77777777" w:rsidR="00DE2357" w:rsidRPr="00DE2357" w:rsidRDefault="00DE2357" w:rsidP="00DE2357">
      <w:pPr>
        <w:rPr>
          <w:lang w:val="en-US"/>
        </w:rPr>
      </w:pPr>
    </w:p>
    <w:p w14:paraId="6ED0B746" w14:textId="77777777" w:rsidR="00DE2357" w:rsidRPr="00DE2357" w:rsidRDefault="00DE2357" w:rsidP="00DE2357">
      <w:pPr>
        <w:rPr>
          <w:b/>
          <w:bCs/>
          <w:lang w:val="en-US"/>
        </w:rPr>
      </w:pPr>
      <w:r w:rsidRPr="00DE2357">
        <w:rPr>
          <w:b/>
          <w:bCs/>
          <w:lang w:val="en-US"/>
        </w:rPr>
        <w:t>About the Investment Manager</w:t>
      </w:r>
    </w:p>
    <w:p w14:paraId="5813F688" w14:textId="1B1F9A02" w:rsidR="00DE2357" w:rsidRPr="00DE2357" w:rsidRDefault="00DE2357" w:rsidP="00DE2357">
      <w:pPr>
        <w:rPr>
          <w:lang w:val="en-US"/>
        </w:rPr>
      </w:pPr>
      <w:r w:rsidRPr="00DE2357">
        <w:rPr>
          <w:lang w:val="en-US"/>
        </w:rPr>
        <w:t xml:space="preserve">Zenith Investment Partners is one of Australia’s most respected fund research and investment consultancies, with a </w:t>
      </w:r>
      <w:r w:rsidR="32A13377" w:rsidRPr="31E1DA33">
        <w:rPr>
          <w:lang w:val="en-US"/>
        </w:rPr>
        <w:t xml:space="preserve">more than </w:t>
      </w:r>
      <w:r w:rsidR="32A13377" w:rsidRPr="5B0D281B">
        <w:rPr>
          <w:lang w:val="en-US"/>
        </w:rPr>
        <w:t xml:space="preserve">20-year </w:t>
      </w:r>
      <w:r w:rsidRPr="5B0D281B">
        <w:rPr>
          <w:lang w:val="en-US"/>
        </w:rPr>
        <w:t>track</w:t>
      </w:r>
      <w:r w:rsidRPr="00DE2357">
        <w:rPr>
          <w:lang w:val="en-US"/>
        </w:rPr>
        <w:t xml:space="preserve"> record of delivering premium investment research, fund ratings and managed account solutions for financial advisers and their clients.</w:t>
      </w:r>
    </w:p>
    <w:p w14:paraId="10E5B439" w14:textId="79CF130F" w:rsidR="00DE2357" w:rsidRPr="00DE2357" w:rsidRDefault="00DE2357" w:rsidP="00DE2357">
      <w:pPr>
        <w:rPr>
          <w:lang w:val="en-US"/>
        </w:rPr>
      </w:pPr>
      <w:r w:rsidRPr="00DE2357">
        <w:rPr>
          <w:lang w:val="en-US"/>
        </w:rPr>
        <w:t xml:space="preserve">Today, Zenith supports a rapidly growing number of advisers nationally with investment research and ratings on almost 1,000 investment products, as well as managing more than 180 investment portfolios for advisers and their clients. Zenith is distinguished by the </w:t>
      </w:r>
      <w:r w:rsidR="2C3363D3" w:rsidRPr="7097CAC6">
        <w:rPr>
          <w:lang w:val="en-US"/>
        </w:rPr>
        <w:t xml:space="preserve">experience and </w:t>
      </w:r>
      <w:r w:rsidR="2C3363D3" w:rsidRPr="62257C54">
        <w:rPr>
          <w:lang w:val="en-US"/>
        </w:rPr>
        <w:t xml:space="preserve">capability </w:t>
      </w:r>
      <w:r w:rsidRPr="62257C54">
        <w:rPr>
          <w:lang w:val="en-US"/>
        </w:rPr>
        <w:t>of</w:t>
      </w:r>
      <w:r w:rsidRPr="00DE2357">
        <w:rPr>
          <w:lang w:val="en-US"/>
        </w:rPr>
        <w:t xml:space="preserve"> its in-house research team</w:t>
      </w:r>
      <w:r w:rsidR="39E10C05" w:rsidRPr="57FBF725">
        <w:rPr>
          <w:lang w:val="en-US"/>
        </w:rPr>
        <w:t>,</w:t>
      </w:r>
      <w:r w:rsidRPr="00DE2357">
        <w:rPr>
          <w:lang w:val="en-US"/>
        </w:rPr>
        <w:t xml:space="preserve"> which delivers critical inputs to the ongoing success of </w:t>
      </w:r>
      <w:r w:rsidR="3708892C" w:rsidRPr="475E1CBC">
        <w:rPr>
          <w:lang w:val="en-US"/>
        </w:rPr>
        <w:t>its</w:t>
      </w:r>
      <w:r w:rsidRPr="00DE2357">
        <w:rPr>
          <w:lang w:val="en-US"/>
        </w:rPr>
        <w:t xml:space="preserve"> managed accounts </w:t>
      </w:r>
      <w:r w:rsidR="0760AB1F" w:rsidRPr="6BCDEAA6">
        <w:rPr>
          <w:lang w:val="en-US"/>
        </w:rPr>
        <w:t>offering</w:t>
      </w:r>
      <w:r w:rsidRPr="00DE2357">
        <w:rPr>
          <w:lang w:val="en-US"/>
        </w:rPr>
        <w:t>.</w:t>
      </w:r>
    </w:p>
    <w:p w14:paraId="573FA900" w14:textId="77777777" w:rsidR="00DE2357" w:rsidRPr="00DE2357" w:rsidRDefault="00DE2357" w:rsidP="00DE2357">
      <w:pPr>
        <w:rPr>
          <w:lang w:val="en-US"/>
        </w:rPr>
      </w:pPr>
    </w:p>
    <w:p w14:paraId="40434AFA" w14:textId="77777777" w:rsidR="00DE2357" w:rsidRPr="00DE2357" w:rsidRDefault="00DE2357" w:rsidP="00DE2357">
      <w:pPr>
        <w:rPr>
          <w:b/>
          <w:bCs/>
          <w:lang w:val="en-US"/>
        </w:rPr>
      </w:pPr>
      <w:r w:rsidRPr="00DE2357">
        <w:rPr>
          <w:b/>
          <w:bCs/>
          <w:lang w:val="en-US"/>
        </w:rPr>
        <w:t>Zenith’s Investment Philosophy</w:t>
      </w:r>
    </w:p>
    <w:p w14:paraId="70A03AD3" w14:textId="57075B72" w:rsidR="00DE2357" w:rsidRPr="00DE2357" w:rsidRDefault="00DE2357" w:rsidP="00DE2357">
      <w:pPr>
        <w:rPr>
          <w:lang w:val="en-US"/>
        </w:rPr>
      </w:pPr>
      <w:r w:rsidRPr="00DE2357">
        <w:rPr>
          <w:lang w:val="en-US"/>
        </w:rPr>
        <w:t>Zenith’s investment philosophy is anchored in the belief that quality</w:t>
      </w:r>
      <w:r w:rsidR="1A9407C3" w:rsidRPr="50C7BC69">
        <w:rPr>
          <w:lang w:val="en-US"/>
        </w:rPr>
        <w:t>,</w:t>
      </w:r>
      <w:r w:rsidRPr="00DE2357">
        <w:rPr>
          <w:lang w:val="en-US"/>
        </w:rPr>
        <w:t xml:space="preserve"> active investment management will outperform broad markets over time, while mitigating risk. It’s this belief that continues to provide the basis for how Zenith </w:t>
      </w:r>
      <w:r w:rsidRPr="6C001D18">
        <w:rPr>
          <w:lang w:val="en-US"/>
        </w:rPr>
        <w:t>manage</w:t>
      </w:r>
      <w:r w:rsidR="5D50902D" w:rsidRPr="6C001D18">
        <w:rPr>
          <w:lang w:val="en-US"/>
        </w:rPr>
        <w:t>s</w:t>
      </w:r>
      <w:r w:rsidRPr="00DE2357">
        <w:rPr>
          <w:lang w:val="en-US"/>
        </w:rPr>
        <w:t xml:space="preserve"> portfolios today, driven by six fundamental investment beliefs.</w:t>
      </w:r>
    </w:p>
    <w:p w14:paraId="4DFDA0F8" w14:textId="77777777" w:rsidR="00DE2357" w:rsidRPr="00DE2357" w:rsidRDefault="00DE2357" w:rsidP="00DE2357">
      <w:pPr>
        <w:numPr>
          <w:ilvl w:val="0"/>
          <w:numId w:val="4"/>
        </w:numPr>
        <w:rPr>
          <w:lang w:val="en-GB"/>
        </w:rPr>
      </w:pPr>
      <w:r w:rsidRPr="00DE2357">
        <w:rPr>
          <w:lang w:val="en-GB"/>
        </w:rPr>
        <w:t>Markets are inefficient and present opportunities to outperform.</w:t>
      </w:r>
    </w:p>
    <w:p w14:paraId="16152EBA" w14:textId="77777777" w:rsidR="00DE2357" w:rsidRPr="00DE2357" w:rsidRDefault="00DE2357" w:rsidP="00DE2357">
      <w:pPr>
        <w:numPr>
          <w:ilvl w:val="0"/>
          <w:numId w:val="4"/>
        </w:numPr>
        <w:rPr>
          <w:lang w:val="en-GB"/>
        </w:rPr>
      </w:pPr>
      <w:r w:rsidRPr="00DE2357">
        <w:rPr>
          <w:lang w:val="en-GB"/>
        </w:rPr>
        <w:t>Diversification leads to higher confidence of meeting objectives.</w:t>
      </w:r>
    </w:p>
    <w:p w14:paraId="45AE46E0" w14:textId="77777777" w:rsidR="00DE2357" w:rsidRPr="00DE2357" w:rsidRDefault="00DE2357" w:rsidP="00DE2357">
      <w:pPr>
        <w:numPr>
          <w:ilvl w:val="0"/>
          <w:numId w:val="4"/>
        </w:numPr>
        <w:rPr>
          <w:lang w:val="en-GB"/>
        </w:rPr>
      </w:pPr>
      <w:r w:rsidRPr="00DE2357">
        <w:rPr>
          <w:lang w:val="en-GB"/>
        </w:rPr>
        <w:t>Medium-term risks, opportunities and thematics should be managed dynamically to achieve better outcomes.</w:t>
      </w:r>
    </w:p>
    <w:p w14:paraId="49E1C6C8" w14:textId="77777777" w:rsidR="00DE2357" w:rsidRPr="00DE2357" w:rsidRDefault="00DE2357" w:rsidP="00DE2357">
      <w:pPr>
        <w:numPr>
          <w:ilvl w:val="0"/>
          <w:numId w:val="4"/>
        </w:numPr>
        <w:rPr>
          <w:lang w:val="en-GB"/>
        </w:rPr>
      </w:pPr>
      <w:r w:rsidRPr="00DE2357">
        <w:rPr>
          <w:lang w:val="en-GB"/>
        </w:rPr>
        <w:t>Accept that markets are risky, but manage, allocate and monitor risk.</w:t>
      </w:r>
    </w:p>
    <w:p w14:paraId="7593C477" w14:textId="77777777" w:rsidR="00DE2357" w:rsidRPr="00DE2357" w:rsidRDefault="00DE2357" w:rsidP="00DE2357">
      <w:pPr>
        <w:numPr>
          <w:ilvl w:val="0"/>
          <w:numId w:val="4"/>
        </w:numPr>
        <w:rPr>
          <w:lang w:val="en-GB"/>
        </w:rPr>
      </w:pPr>
      <w:r w:rsidRPr="00DE2357">
        <w:rPr>
          <w:lang w:val="en-GB"/>
        </w:rPr>
        <w:t>Research is key, adds value and permits evolution over time.</w:t>
      </w:r>
    </w:p>
    <w:p w14:paraId="40E4F2F4" w14:textId="77777777" w:rsidR="00DE2357" w:rsidRPr="00DE2357" w:rsidRDefault="00DE2357" w:rsidP="00DE2357">
      <w:pPr>
        <w:numPr>
          <w:ilvl w:val="0"/>
          <w:numId w:val="4"/>
        </w:numPr>
        <w:rPr>
          <w:lang w:val="en-GB"/>
        </w:rPr>
      </w:pPr>
      <w:r w:rsidRPr="00DE2357">
        <w:rPr>
          <w:lang w:val="en-GB"/>
        </w:rPr>
        <w:lastRenderedPageBreak/>
        <w:t>Be aware, prepared, patient; review, adjust and adopt according to objectives, beliefs and process.</w:t>
      </w:r>
    </w:p>
    <w:p w14:paraId="2A495FDF" w14:textId="77777777" w:rsidR="00DE2357" w:rsidRPr="00DE2357" w:rsidRDefault="00DE2357" w:rsidP="00DE2357">
      <w:pPr>
        <w:rPr>
          <w:lang w:val="en-US"/>
        </w:rPr>
      </w:pPr>
    </w:p>
    <w:p w14:paraId="5BEFB0B2" w14:textId="3F61069F" w:rsidR="00DE2357" w:rsidRPr="00DE2357" w:rsidRDefault="008477D1" w:rsidP="00DE2357">
      <w:pPr>
        <w:rPr>
          <w:b/>
          <w:bCs/>
          <w:lang w:val="en-US"/>
        </w:rPr>
      </w:pPr>
      <w:r>
        <w:rPr>
          <w:b/>
          <w:bCs/>
          <w:lang w:val="en-US"/>
        </w:rPr>
        <w:t>Forbes Fava Seville</w:t>
      </w:r>
      <w:r w:rsidR="00DE2357" w:rsidRPr="00DE2357">
        <w:rPr>
          <w:b/>
          <w:bCs/>
          <w:lang w:val="en-US"/>
        </w:rPr>
        <w:t xml:space="preserve"> Advisers’ Investment Philosophy</w:t>
      </w:r>
    </w:p>
    <w:p w14:paraId="155A8FD5" w14:textId="77777777" w:rsidR="00DE2357" w:rsidRPr="00DE2357" w:rsidRDefault="00DE2357" w:rsidP="00DE2357">
      <w:pPr>
        <w:numPr>
          <w:ilvl w:val="0"/>
          <w:numId w:val="8"/>
        </w:numPr>
        <w:rPr>
          <w:highlight w:val="yellow"/>
          <w:lang w:val="en-GB"/>
        </w:rPr>
      </w:pPr>
      <w:r w:rsidRPr="00DE2357">
        <w:rPr>
          <w:b/>
          <w:bCs/>
          <w:highlight w:val="yellow"/>
          <w:lang w:val="en-GB"/>
        </w:rPr>
        <w:t>Client-Centric Approach:</w:t>
      </w:r>
      <w:r w:rsidRPr="00DE2357">
        <w:rPr>
          <w:highlight w:val="yellow"/>
          <w:lang w:val="en-GB"/>
        </w:rPr>
        <w:t xml:space="preserve"> We believe in putting our clients’ needs first. Our holistic advice is tailored to </w:t>
      </w:r>
      <w:proofErr w:type="gramStart"/>
      <w:r w:rsidRPr="00DE2357">
        <w:rPr>
          <w:highlight w:val="yellow"/>
          <w:lang w:val="en-GB"/>
        </w:rPr>
        <w:t>each individual’s</w:t>
      </w:r>
      <w:proofErr w:type="gramEnd"/>
      <w:r w:rsidRPr="00DE2357">
        <w:rPr>
          <w:highlight w:val="yellow"/>
          <w:lang w:val="en-GB"/>
        </w:rPr>
        <w:t xml:space="preserve"> financial goals, risk tolerance and life circumstances. We strive to build long-term relationships based on trust and transparency.</w:t>
      </w:r>
    </w:p>
    <w:p w14:paraId="4E4C98D3" w14:textId="77777777" w:rsidR="00DE2357" w:rsidRPr="00DE2357" w:rsidRDefault="00DE2357" w:rsidP="00DE2357">
      <w:pPr>
        <w:numPr>
          <w:ilvl w:val="0"/>
          <w:numId w:val="8"/>
        </w:numPr>
        <w:rPr>
          <w:highlight w:val="yellow"/>
          <w:lang w:val="en-GB"/>
        </w:rPr>
      </w:pPr>
      <w:r w:rsidRPr="00DE2357">
        <w:rPr>
          <w:b/>
          <w:bCs/>
          <w:highlight w:val="yellow"/>
          <w:lang w:val="en-GB"/>
        </w:rPr>
        <w:t>Comprehensive Financial Planning:</w:t>
      </w:r>
      <w:r w:rsidRPr="00DE2357">
        <w:rPr>
          <w:highlight w:val="yellow"/>
          <w:lang w:val="en-GB"/>
        </w:rPr>
        <w:t xml:space="preserve"> Our philosophy encompasses all aspects of financial planning, including superannuation, retirement, estate planning, tax strategies and insurance. We aim to provide a well-rounded plan that addresses every facet of our clients’ financial lives.</w:t>
      </w:r>
    </w:p>
    <w:p w14:paraId="6B8FA433" w14:textId="77777777" w:rsidR="00DE2357" w:rsidRPr="00DE2357" w:rsidRDefault="00DE2357" w:rsidP="00DE2357">
      <w:pPr>
        <w:numPr>
          <w:ilvl w:val="0"/>
          <w:numId w:val="8"/>
        </w:numPr>
        <w:rPr>
          <w:highlight w:val="yellow"/>
          <w:lang w:val="en-GB"/>
        </w:rPr>
      </w:pPr>
      <w:r w:rsidRPr="00DE2357">
        <w:rPr>
          <w:b/>
          <w:bCs/>
          <w:highlight w:val="yellow"/>
          <w:lang w:val="en-GB"/>
        </w:rPr>
        <w:t>Diversification and Risk Management:</w:t>
      </w:r>
      <w:r w:rsidRPr="00DE2357">
        <w:rPr>
          <w:highlight w:val="yellow"/>
          <w:lang w:val="en-GB"/>
        </w:rPr>
        <w:t xml:space="preserve"> We advocate for a diversified investment portfolio to mitigate risks and enhance returns. By spreading investments across various asset classes and sectors, we aim to protect our clients’ wealth from market volatility.</w:t>
      </w:r>
    </w:p>
    <w:p w14:paraId="009B38A9" w14:textId="77777777" w:rsidR="00DE2357" w:rsidRPr="00DE2357" w:rsidRDefault="00DE2357" w:rsidP="00DE2357">
      <w:pPr>
        <w:numPr>
          <w:ilvl w:val="0"/>
          <w:numId w:val="8"/>
        </w:numPr>
        <w:rPr>
          <w:highlight w:val="yellow"/>
          <w:lang w:val="en-GB"/>
        </w:rPr>
      </w:pPr>
      <w:r w:rsidRPr="00DE2357">
        <w:rPr>
          <w:b/>
          <w:bCs/>
          <w:highlight w:val="yellow"/>
          <w:lang w:val="en-GB"/>
        </w:rPr>
        <w:t>Long-Term Perspective:</w:t>
      </w:r>
      <w:r w:rsidRPr="00DE2357">
        <w:rPr>
          <w:highlight w:val="yellow"/>
          <w:lang w:val="en-GB"/>
        </w:rPr>
        <w:t xml:space="preserve"> We focus on long-term growth rather than short-term gains. Our investment strategies are designed to build sustainable wealth over time, aligning with our clients’ future financial goals.</w:t>
      </w:r>
    </w:p>
    <w:p w14:paraId="5DD94FE2" w14:textId="77777777" w:rsidR="00DE2357" w:rsidRPr="00DE2357" w:rsidRDefault="00DE2357" w:rsidP="00DE2357">
      <w:pPr>
        <w:numPr>
          <w:ilvl w:val="0"/>
          <w:numId w:val="8"/>
        </w:numPr>
        <w:rPr>
          <w:highlight w:val="yellow"/>
          <w:lang w:val="en-GB"/>
        </w:rPr>
      </w:pPr>
      <w:r w:rsidRPr="00DE2357">
        <w:rPr>
          <w:b/>
          <w:bCs/>
          <w:highlight w:val="yellow"/>
          <w:lang w:val="en-GB"/>
        </w:rPr>
        <w:t>Continuous Education and Adaptation:</w:t>
      </w:r>
      <w:r w:rsidRPr="00DE2357">
        <w:rPr>
          <w:highlight w:val="yellow"/>
          <w:lang w:val="en-GB"/>
        </w:rPr>
        <w:t xml:space="preserve"> The financial landscape is ever-changing. We commit to continuous learning and adapting our strategies to stay ahead of market trends and regulatory changes. This ensures that our clients receive the most current and effective advice.</w:t>
      </w:r>
    </w:p>
    <w:p w14:paraId="74DA7C8C" w14:textId="77777777" w:rsidR="00DE2357" w:rsidRPr="00DE2357" w:rsidRDefault="00DE2357" w:rsidP="00DE2357">
      <w:pPr>
        <w:numPr>
          <w:ilvl w:val="0"/>
          <w:numId w:val="8"/>
        </w:numPr>
        <w:rPr>
          <w:highlight w:val="yellow"/>
          <w:lang w:val="en-GB"/>
        </w:rPr>
      </w:pPr>
      <w:r w:rsidRPr="00DE2357">
        <w:rPr>
          <w:b/>
          <w:bCs/>
          <w:highlight w:val="yellow"/>
          <w:lang w:val="en-GB"/>
        </w:rPr>
        <w:t>Transparent Communication:</w:t>
      </w:r>
      <w:r w:rsidRPr="00DE2357">
        <w:rPr>
          <w:highlight w:val="yellow"/>
          <w:lang w:val="en-GB"/>
        </w:rPr>
        <w:t xml:space="preserve"> We maintain open and honest communication with our clients. Regular updates and clear explanations of our investment decisions help clients feel confident and informed about their financial journey.</w:t>
      </w:r>
    </w:p>
    <w:p w14:paraId="7CE8FE4B" w14:textId="088A492F" w:rsidR="00DE2357" w:rsidRPr="00DE2357" w:rsidRDefault="00DE2357" w:rsidP="00DE2357">
      <w:pPr>
        <w:rPr>
          <w:b/>
          <w:bCs/>
          <w:lang w:val="en-US"/>
        </w:rPr>
      </w:pPr>
      <w:r w:rsidRPr="00DE2357">
        <w:rPr>
          <w:b/>
          <w:bCs/>
          <w:lang w:val="en-US"/>
        </w:rPr>
        <w:t xml:space="preserve">Benefits of </w:t>
      </w:r>
      <w:r w:rsidR="5E51B005" w:rsidRPr="3023A9A6">
        <w:rPr>
          <w:b/>
          <w:bCs/>
          <w:lang w:val="en-US"/>
        </w:rPr>
        <w:t>m</w:t>
      </w:r>
      <w:r w:rsidRPr="3023A9A6">
        <w:rPr>
          <w:b/>
          <w:bCs/>
          <w:lang w:val="en-US"/>
        </w:rPr>
        <w:t>anaged</w:t>
      </w:r>
      <w:r w:rsidRPr="00DE2357">
        <w:rPr>
          <w:b/>
          <w:bCs/>
          <w:lang w:val="en-US"/>
        </w:rPr>
        <w:t xml:space="preserve"> </w:t>
      </w:r>
      <w:r w:rsidRPr="5147FE22">
        <w:rPr>
          <w:b/>
          <w:bCs/>
          <w:lang w:val="en-US"/>
        </w:rPr>
        <w:t>account</w:t>
      </w:r>
      <w:r w:rsidR="73C51C2F" w:rsidRPr="5147FE22">
        <w:rPr>
          <w:b/>
          <w:bCs/>
          <w:lang w:val="en-US"/>
        </w:rPr>
        <w:t>s</w:t>
      </w:r>
    </w:p>
    <w:p w14:paraId="117071C5" w14:textId="6E37CCF2" w:rsidR="00DE2357" w:rsidRPr="00DE2357" w:rsidRDefault="00DE2357" w:rsidP="00DE2357">
      <w:pPr>
        <w:numPr>
          <w:ilvl w:val="0"/>
          <w:numId w:val="2"/>
        </w:numPr>
      </w:pPr>
      <w:r w:rsidRPr="00DE2357">
        <w:rPr>
          <w:b/>
          <w:bCs/>
        </w:rPr>
        <w:t xml:space="preserve">Access to </w:t>
      </w:r>
      <w:r w:rsidR="7210C2A6" w:rsidRPr="3BD21D7A">
        <w:rPr>
          <w:b/>
          <w:bCs/>
        </w:rPr>
        <w:t>e</w:t>
      </w:r>
      <w:r w:rsidRPr="3BD21D7A">
        <w:rPr>
          <w:b/>
          <w:bCs/>
        </w:rPr>
        <w:t>xpertise</w:t>
      </w:r>
      <w:r w:rsidRPr="00DE2357">
        <w:rPr>
          <w:b/>
          <w:bCs/>
        </w:rPr>
        <w:t>:</w:t>
      </w:r>
      <w:r w:rsidRPr="00DE2357">
        <w:t xml:space="preserve"> Investors can leverage the insights of a professional investment manager who </w:t>
      </w:r>
      <w:r>
        <w:t>use</w:t>
      </w:r>
      <w:r w:rsidR="37E9F86D">
        <w:t>s</w:t>
      </w:r>
      <w:r w:rsidRPr="00DE2357">
        <w:t xml:space="preserve"> quantitative and qualitative research methods to make data-driven decisions. This can include using advanced software for portfolio optimisation and risk assessment.</w:t>
      </w:r>
    </w:p>
    <w:p w14:paraId="21C9430C" w14:textId="29B60EE3" w:rsidR="00DE2357" w:rsidRPr="00DE2357" w:rsidRDefault="00DE2357" w:rsidP="00DE2357">
      <w:pPr>
        <w:numPr>
          <w:ilvl w:val="0"/>
          <w:numId w:val="2"/>
        </w:numPr>
      </w:pPr>
      <w:r w:rsidRPr="00DE2357">
        <w:rPr>
          <w:b/>
          <w:bCs/>
        </w:rPr>
        <w:t>Goal-</w:t>
      </w:r>
      <w:r w:rsidR="07B5945D" w:rsidRPr="62EA9A41">
        <w:rPr>
          <w:b/>
          <w:bCs/>
        </w:rPr>
        <w:t>o</w:t>
      </w:r>
      <w:r w:rsidRPr="62EA9A41">
        <w:rPr>
          <w:b/>
          <w:bCs/>
        </w:rPr>
        <w:t>riented</w:t>
      </w:r>
      <w:r w:rsidRPr="00DE2357">
        <w:rPr>
          <w:b/>
          <w:bCs/>
        </w:rPr>
        <w:t xml:space="preserve"> </w:t>
      </w:r>
      <w:r w:rsidR="54C38B34" w:rsidRPr="1771991E">
        <w:rPr>
          <w:b/>
          <w:bCs/>
        </w:rPr>
        <w:t>i</w:t>
      </w:r>
      <w:r w:rsidRPr="1771991E">
        <w:rPr>
          <w:b/>
          <w:bCs/>
        </w:rPr>
        <w:t>nvestment</w:t>
      </w:r>
      <w:r w:rsidRPr="00DE2357">
        <w:rPr>
          <w:b/>
          <w:bCs/>
        </w:rPr>
        <w:t>:</w:t>
      </w:r>
      <w:r w:rsidRPr="00DE2357">
        <w:t xml:space="preserve"> Managed accounts can be aligned with specific financial objectives, such as retirement funding, wealth accumulation or legacy planning. </w:t>
      </w:r>
      <w:r>
        <w:t>Advis</w:t>
      </w:r>
      <w:r w:rsidR="03E322CB">
        <w:t>e</w:t>
      </w:r>
      <w:r>
        <w:t>rs</w:t>
      </w:r>
      <w:r w:rsidRPr="00DE2357">
        <w:t xml:space="preserve"> can incorporate various asset classes</w:t>
      </w:r>
      <w:r w:rsidR="509A5AC1">
        <w:t xml:space="preserve"> i</w:t>
      </w:r>
      <w:r>
        <w:t>ncluding</w:t>
      </w:r>
      <w:r w:rsidRPr="00DE2357">
        <w:t xml:space="preserve"> equities, fixed income, alternatives, and cash </w:t>
      </w:r>
      <w:r>
        <w:t>equivalents</w:t>
      </w:r>
      <w:r w:rsidR="21F23766">
        <w:t xml:space="preserve">, </w:t>
      </w:r>
      <w:r>
        <w:t>to</w:t>
      </w:r>
      <w:r w:rsidRPr="00DE2357">
        <w:t xml:space="preserve"> meet these goals.</w:t>
      </w:r>
    </w:p>
    <w:p w14:paraId="411DEAD7" w14:textId="442F3FF0" w:rsidR="00DE2357" w:rsidRPr="00DE2357" w:rsidRDefault="00DE2357" w:rsidP="00DE2357">
      <w:pPr>
        <w:numPr>
          <w:ilvl w:val="0"/>
          <w:numId w:val="2"/>
        </w:numPr>
      </w:pPr>
      <w:r w:rsidRPr="00DE2357">
        <w:rPr>
          <w:b/>
          <w:bCs/>
        </w:rPr>
        <w:lastRenderedPageBreak/>
        <w:t xml:space="preserve">Reduced </w:t>
      </w:r>
      <w:r w:rsidR="17D41266" w:rsidRPr="30CB8166">
        <w:rPr>
          <w:b/>
          <w:bCs/>
        </w:rPr>
        <w:t>e</w:t>
      </w:r>
      <w:r w:rsidRPr="30CB8166">
        <w:rPr>
          <w:b/>
          <w:bCs/>
        </w:rPr>
        <w:t>motional</w:t>
      </w:r>
      <w:r w:rsidRPr="00DE2357">
        <w:rPr>
          <w:b/>
          <w:bCs/>
        </w:rPr>
        <w:t xml:space="preserve"> </w:t>
      </w:r>
      <w:r w:rsidR="249A470E" w:rsidRPr="20A85584">
        <w:rPr>
          <w:b/>
          <w:bCs/>
        </w:rPr>
        <w:t>i</w:t>
      </w:r>
      <w:r w:rsidRPr="20A85584">
        <w:rPr>
          <w:b/>
          <w:bCs/>
        </w:rPr>
        <w:t>nvesting</w:t>
      </w:r>
      <w:r w:rsidRPr="00DE2357">
        <w:rPr>
          <w:b/>
          <w:bCs/>
        </w:rPr>
        <w:t>:</w:t>
      </w:r>
      <w:r w:rsidRPr="00DE2357">
        <w:t xml:space="preserve"> Professional management helps mitigate emotional decision-making by adhering to predefined strategies, thus reducing the impact of behavioural biases on investment outcomes.</w:t>
      </w:r>
    </w:p>
    <w:p w14:paraId="33C71EE3" w14:textId="77777777" w:rsidR="00DE2357" w:rsidRPr="00DE2357" w:rsidRDefault="00DE2357" w:rsidP="00DE2357">
      <w:pPr>
        <w:numPr>
          <w:ilvl w:val="0"/>
          <w:numId w:val="2"/>
        </w:numPr>
      </w:pPr>
      <w:r w:rsidRPr="00DE2357">
        <w:rPr>
          <w:b/>
          <w:bCs/>
        </w:rPr>
        <w:t>Higher performance potential:</w:t>
      </w:r>
      <w:r w:rsidRPr="00DE2357">
        <w:t xml:space="preserve"> Managed accounts can adapt to market conditions, as the investment manager has the authority to implement investment holding trades on the investor’s behalf. This can provide exposure to the best investments available at the right time, maximising performance potential and reducing risk in your portfolio.</w:t>
      </w:r>
    </w:p>
    <w:p w14:paraId="78F8A9B4" w14:textId="77777777" w:rsidR="00DE2357" w:rsidRPr="00DE2357" w:rsidRDefault="00DE2357" w:rsidP="00DE2357">
      <w:pPr>
        <w:numPr>
          <w:ilvl w:val="0"/>
          <w:numId w:val="2"/>
        </w:numPr>
      </w:pPr>
      <w:r w:rsidRPr="00DE2357">
        <w:rPr>
          <w:b/>
          <w:bCs/>
        </w:rPr>
        <w:t>Stronger compliance:</w:t>
      </w:r>
      <w:r w:rsidRPr="00DE2357">
        <w:t xml:space="preserve"> Managed accounts operate as a Managed Investment Scheme under Corporations Law, requiring them to adhere to strict governance and regulatory requirements. The structure ensures that the portfolio is always managed and maintained within the agreed risk profile.</w:t>
      </w:r>
    </w:p>
    <w:p w14:paraId="769343EA" w14:textId="77777777" w:rsidR="00DE2357" w:rsidRPr="00DE2357" w:rsidRDefault="00DE2357" w:rsidP="00DE2357">
      <w:pPr>
        <w:numPr>
          <w:ilvl w:val="0"/>
          <w:numId w:val="2"/>
        </w:numPr>
        <w:rPr>
          <w:lang w:val="en-GB"/>
        </w:rPr>
      </w:pPr>
      <w:r w:rsidRPr="00DE2357">
        <w:rPr>
          <w:b/>
          <w:bCs/>
        </w:rPr>
        <w:t>Less paperwork:</w:t>
      </w:r>
      <w:r w:rsidRPr="00DE2357">
        <w:t xml:space="preserve"> A managed account can be updated efficiently and rebalanced regularly within clearly identified guidelines, without the investor needing to sign additional paperwork. This could increase the efficiency and timeliness of implementation. </w:t>
      </w:r>
    </w:p>
    <w:p w14:paraId="0AA16D02" w14:textId="77777777" w:rsidR="00DE2357" w:rsidRPr="00DE2357" w:rsidRDefault="00DE2357" w:rsidP="00DE2357">
      <w:pPr>
        <w:rPr>
          <w:b/>
          <w:bCs/>
          <w:lang w:val="en-US"/>
        </w:rPr>
      </w:pPr>
      <w:r w:rsidRPr="00DE2357">
        <w:rPr>
          <w:b/>
          <w:bCs/>
          <w:lang w:val="en-US"/>
        </w:rPr>
        <w:t xml:space="preserve">Key Risks </w:t>
      </w:r>
    </w:p>
    <w:p w14:paraId="6DDFA916" w14:textId="63F27EC8" w:rsidR="00DE2357" w:rsidRPr="00DE2357" w:rsidRDefault="00DE2357" w:rsidP="00DE2357">
      <w:pPr>
        <w:numPr>
          <w:ilvl w:val="0"/>
          <w:numId w:val="1"/>
        </w:numPr>
        <w:rPr>
          <w:lang w:val="en-GB"/>
        </w:rPr>
      </w:pPr>
      <w:r w:rsidRPr="00DE2357">
        <w:rPr>
          <w:b/>
          <w:bCs/>
          <w:lang w:val="en-GB"/>
        </w:rPr>
        <w:t xml:space="preserve">Limited </w:t>
      </w:r>
      <w:r w:rsidR="1F46181E" w:rsidRPr="6A0E8003">
        <w:rPr>
          <w:b/>
          <w:bCs/>
          <w:lang w:val="en-GB"/>
        </w:rPr>
        <w:t>c</w:t>
      </w:r>
      <w:r w:rsidRPr="6A0E8003">
        <w:rPr>
          <w:b/>
          <w:bCs/>
          <w:lang w:val="en-GB"/>
        </w:rPr>
        <w:t>ontrol</w:t>
      </w:r>
      <w:r w:rsidRPr="00DE2357">
        <w:rPr>
          <w:b/>
          <w:bCs/>
          <w:lang w:val="en-GB"/>
        </w:rPr>
        <w:t>:</w:t>
      </w:r>
      <w:r w:rsidRPr="00DE2357">
        <w:rPr>
          <w:lang w:val="en-GB"/>
        </w:rPr>
        <w:t xml:space="preserve"> The investors cede control over investment decisions, which may not align with the preferences of all investors. This loss of control can lead to dissatisfaction if the investment strategy does not meet expectations.</w:t>
      </w:r>
    </w:p>
    <w:p w14:paraId="38669625" w14:textId="77777777" w:rsidR="00DE2357" w:rsidRPr="00DE2357" w:rsidRDefault="00DE2357" w:rsidP="00DE2357">
      <w:pPr>
        <w:numPr>
          <w:ilvl w:val="0"/>
          <w:numId w:val="1"/>
        </w:numPr>
        <w:rPr>
          <w:lang w:val="en-GB"/>
        </w:rPr>
      </w:pPr>
      <w:r w:rsidRPr="00DE2357">
        <w:rPr>
          <w:b/>
          <w:bCs/>
          <w:lang w:val="en-GB"/>
        </w:rPr>
        <w:t>Fees:</w:t>
      </w:r>
      <w:r w:rsidRPr="00DE2357">
        <w:rPr>
          <w:lang w:val="en-GB"/>
        </w:rPr>
        <w:t xml:space="preserve"> The fees and expenses will typically be higher compared to investing directly in the underlying assets, due to the investment manager’s fees. </w:t>
      </w:r>
    </w:p>
    <w:p w14:paraId="529AEBAC" w14:textId="4FC95253" w:rsidR="00DE2357" w:rsidRPr="00DE2357" w:rsidRDefault="00DE2357" w:rsidP="00DE2357">
      <w:pPr>
        <w:numPr>
          <w:ilvl w:val="0"/>
          <w:numId w:val="1"/>
        </w:numPr>
        <w:rPr>
          <w:lang w:val="en-GB"/>
        </w:rPr>
      </w:pPr>
      <w:r w:rsidRPr="00DE2357">
        <w:rPr>
          <w:b/>
          <w:bCs/>
          <w:lang w:val="en-GB"/>
        </w:rPr>
        <w:t>Model manager risk:</w:t>
      </w:r>
      <w:r w:rsidRPr="00DE2357">
        <w:rPr>
          <w:lang w:val="en-GB"/>
        </w:rPr>
        <w:t xml:space="preserve"> Risks associated with the level of diversification in particular managed account </w:t>
      </w:r>
      <w:r w:rsidRPr="4A34A74A">
        <w:rPr>
          <w:lang w:val="en-GB"/>
        </w:rPr>
        <w:t>model</w:t>
      </w:r>
      <w:r w:rsidR="46F16B4B" w:rsidRPr="4A34A74A">
        <w:rPr>
          <w:lang w:val="en-GB"/>
        </w:rPr>
        <w:t>s</w:t>
      </w:r>
      <w:r w:rsidRPr="00DE2357">
        <w:rPr>
          <w:lang w:val="en-GB"/>
        </w:rPr>
        <w:t xml:space="preserve">, the subjective nature of investment decisions made by the investment manager, </w:t>
      </w:r>
      <w:r w:rsidR="504B7906" w:rsidRPr="717CBD65">
        <w:rPr>
          <w:lang w:val="en-GB"/>
        </w:rPr>
        <w:t xml:space="preserve">and </w:t>
      </w:r>
      <w:r w:rsidRPr="717CBD65">
        <w:rPr>
          <w:lang w:val="en-GB"/>
        </w:rPr>
        <w:t>potential</w:t>
      </w:r>
      <w:r w:rsidRPr="00DE2357">
        <w:rPr>
          <w:lang w:val="en-GB"/>
        </w:rPr>
        <w:t xml:space="preserve"> changes to the investment manager such as the loss of key staff and the investment manager failing to effectively implement their stated investment philosophy.</w:t>
      </w:r>
    </w:p>
    <w:p w14:paraId="1C500459" w14:textId="17A12C84" w:rsidR="00DE2357" w:rsidRPr="00DE2357" w:rsidRDefault="00DE2357" w:rsidP="00DE2357">
      <w:pPr>
        <w:numPr>
          <w:ilvl w:val="0"/>
          <w:numId w:val="1"/>
        </w:numPr>
        <w:rPr>
          <w:lang w:val="en-GB"/>
        </w:rPr>
      </w:pPr>
      <w:r w:rsidRPr="00DE2357">
        <w:rPr>
          <w:b/>
          <w:bCs/>
          <w:lang w:val="en-GB"/>
        </w:rPr>
        <w:t xml:space="preserve">Performance </w:t>
      </w:r>
      <w:r w:rsidR="2141AC08" w:rsidRPr="418F0E69">
        <w:rPr>
          <w:b/>
          <w:bCs/>
          <w:lang w:val="en-GB"/>
        </w:rPr>
        <w:t>v</w:t>
      </w:r>
      <w:r w:rsidRPr="418F0E69">
        <w:rPr>
          <w:b/>
          <w:bCs/>
          <w:lang w:val="en-GB"/>
        </w:rPr>
        <w:t>ariability</w:t>
      </w:r>
      <w:r w:rsidRPr="00DE2357">
        <w:rPr>
          <w:b/>
          <w:bCs/>
          <w:lang w:val="en-GB"/>
        </w:rPr>
        <w:t>:</w:t>
      </w:r>
      <w:r w:rsidRPr="00DE2357">
        <w:rPr>
          <w:lang w:val="en-GB"/>
        </w:rPr>
        <w:t xml:space="preserve"> While professional management can enhance performance, there are no guarantees. Performance can vary based on the strategies employed and market dynamics. It's important for investors to review historical performance and risk metrics before selecting a manager.</w:t>
      </w:r>
    </w:p>
    <w:p w14:paraId="44C37C29" w14:textId="3744C012" w:rsidR="00DE2357" w:rsidRPr="00DE2357" w:rsidRDefault="00DE2357" w:rsidP="00DE2357">
      <w:pPr>
        <w:numPr>
          <w:ilvl w:val="0"/>
          <w:numId w:val="1"/>
        </w:numPr>
        <w:rPr>
          <w:lang w:val="en-GB"/>
        </w:rPr>
      </w:pPr>
      <w:r w:rsidRPr="00DE2357">
        <w:rPr>
          <w:b/>
          <w:bCs/>
          <w:lang w:val="en-GB"/>
        </w:rPr>
        <w:t xml:space="preserve">Market and </w:t>
      </w:r>
      <w:r w:rsidR="3C956C55" w:rsidRPr="166F9663">
        <w:rPr>
          <w:b/>
          <w:bCs/>
          <w:lang w:val="en-GB"/>
        </w:rPr>
        <w:t>i</w:t>
      </w:r>
      <w:r w:rsidRPr="166F9663">
        <w:rPr>
          <w:b/>
          <w:bCs/>
          <w:lang w:val="en-GB"/>
        </w:rPr>
        <w:t>nvestment</w:t>
      </w:r>
      <w:r w:rsidRPr="00DE2357">
        <w:rPr>
          <w:b/>
          <w:bCs/>
          <w:lang w:val="en-GB"/>
        </w:rPr>
        <w:t xml:space="preserve"> risk:</w:t>
      </w:r>
      <w:r w:rsidRPr="00DE2357">
        <w:rPr>
          <w:lang w:val="en-GB"/>
        </w:rPr>
        <w:t xml:space="preserve"> There are no assurances that the investment objective of the managed account will be </w:t>
      </w:r>
      <w:proofErr w:type="gramStart"/>
      <w:r w:rsidRPr="00DE2357">
        <w:rPr>
          <w:lang w:val="en-GB"/>
        </w:rPr>
        <w:t>achieved</w:t>
      </w:r>
      <w:proofErr w:type="gramEnd"/>
      <w:r w:rsidRPr="00DE2357">
        <w:rPr>
          <w:lang w:val="en-GB"/>
        </w:rPr>
        <w:t xml:space="preserve"> and the performance of the managed account is not guaranteed. The value of assets within the managed account may rise and fall due to market movements, while the investment </w:t>
      </w:r>
      <w:r w:rsidRPr="00DE2357">
        <w:rPr>
          <w:lang w:val="en-GB"/>
        </w:rPr>
        <w:lastRenderedPageBreak/>
        <w:t xml:space="preserve">income may also fluctuate in response to the income earned by the underlying assets. </w:t>
      </w:r>
    </w:p>
    <w:p w14:paraId="1A7F02B8" w14:textId="5665358F" w:rsidR="00DE2357" w:rsidRPr="00DE2357" w:rsidRDefault="00DE2357" w:rsidP="00DE2357">
      <w:pPr>
        <w:numPr>
          <w:ilvl w:val="0"/>
          <w:numId w:val="1"/>
        </w:numPr>
        <w:rPr>
          <w:lang w:val="en-GB"/>
        </w:rPr>
      </w:pPr>
      <w:r w:rsidRPr="00DE2357">
        <w:rPr>
          <w:b/>
          <w:bCs/>
          <w:lang w:val="en-GB"/>
        </w:rPr>
        <w:t xml:space="preserve">Legal and </w:t>
      </w:r>
      <w:r w:rsidR="569F0133" w:rsidRPr="3F940D3F">
        <w:rPr>
          <w:b/>
          <w:bCs/>
          <w:lang w:val="en-GB"/>
        </w:rPr>
        <w:t>r</w:t>
      </w:r>
      <w:r w:rsidRPr="3F940D3F">
        <w:rPr>
          <w:b/>
          <w:bCs/>
          <w:lang w:val="en-GB"/>
        </w:rPr>
        <w:t>egulatory</w:t>
      </w:r>
      <w:r w:rsidRPr="00DE2357">
        <w:rPr>
          <w:b/>
          <w:bCs/>
          <w:lang w:val="en-GB"/>
        </w:rPr>
        <w:t xml:space="preserve"> risk:</w:t>
      </w:r>
      <w:r w:rsidRPr="00DE2357">
        <w:rPr>
          <w:lang w:val="en-GB"/>
        </w:rPr>
        <w:t xml:space="preserve"> The laws governing the operation of the managed account may change, affecting the operation of the scheme. Additionally, taxation and other applicable laws may also change, impacting the benefits of the managed account. </w:t>
      </w:r>
    </w:p>
    <w:p w14:paraId="15980DCF" w14:textId="38232975" w:rsidR="00DE2357" w:rsidRPr="00DE2357" w:rsidRDefault="00DE2357" w:rsidP="00DE2357">
      <w:pPr>
        <w:numPr>
          <w:ilvl w:val="0"/>
          <w:numId w:val="1"/>
        </w:numPr>
        <w:rPr>
          <w:lang w:val="en-GB"/>
        </w:rPr>
      </w:pPr>
      <w:r w:rsidRPr="00DE2357">
        <w:rPr>
          <w:b/>
          <w:bCs/>
          <w:lang w:val="en-GB"/>
        </w:rPr>
        <w:t>Operational risk:</w:t>
      </w:r>
      <w:r w:rsidRPr="00DE2357">
        <w:rPr>
          <w:lang w:val="en-GB"/>
        </w:rPr>
        <w:t xml:space="preserve"> Risks associated with the operation of the managed account, such as</w:t>
      </w:r>
      <w:r w:rsidR="75F8135D" w:rsidRPr="7418DAE0">
        <w:rPr>
          <w:lang w:val="en-GB"/>
        </w:rPr>
        <w:t>:</w:t>
      </w:r>
    </w:p>
    <w:p w14:paraId="05568430" w14:textId="77777777" w:rsidR="00DE2357" w:rsidRPr="00DE2357" w:rsidRDefault="00DE2357" w:rsidP="00DE2357">
      <w:pPr>
        <w:numPr>
          <w:ilvl w:val="0"/>
          <w:numId w:val="6"/>
        </w:numPr>
        <w:rPr>
          <w:lang w:val="en-GB"/>
        </w:rPr>
      </w:pPr>
      <w:r w:rsidRPr="00DE2357">
        <w:rPr>
          <w:lang w:val="en-GB"/>
        </w:rPr>
        <w:t>the actual asset holdings in the managed account are unlikely to exactly match the holdings of the investor’s chosen model</w:t>
      </w:r>
    </w:p>
    <w:p w14:paraId="6319CB93" w14:textId="77777777" w:rsidR="00DE2357" w:rsidRPr="00DE2357" w:rsidRDefault="00DE2357" w:rsidP="00DE2357">
      <w:pPr>
        <w:numPr>
          <w:ilvl w:val="0"/>
          <w:numId w:val="6"/>
        </w:numPr>
        <w:rPr>
          <w:lang w:val="en-GB"/>
        </w:rPr>
      </w:pPr>
      <w:r w:rsidRPr="00DE2357">
        <w:rPr>
          <w:lang w:val="en-GB"/>
        </w:rPr>
        <w:t>the amount of trading associated with rebalances will impact the trading costs and investment performance</w:t>
      </w:r>
    </w:p>
    <w:p w14:paraId="6FA3B1B2" w14:textId="77777777" w:rsidR="00DE2357" w:rsidRPr="00DE2357" w:rsidRDefault="00DE2357" w:rsidP="00DE2357">
      <w:pPr>
        <w:numPr>
          <w:ilvl w:val="0"/>
          <w:numId w:val="6"/>
        </w:numPr>
        <w:rPr>
          <w:lang w:val="en-GB"/>
        </w:rPr>
      </w:pPr>
      <w:r w:rsidRPr="00DE2357">
        <w:rPr>
          <w:lang w:val="en-GB"/>
        </w:rPr>
        <w:t xml:space="preserve">if rebalances are suspended, then the managed account may not reflect the most recent investment decisions made by the investment managers </w:t>
      </w:r>
    </w:p>
    <w:p w14:paraId="75E4FE0F" w14:textId="05C5BCA5" w:rsidR="00DE2357" w:rsidRPr="00DE2357" w:rsidRDefault="00DE2357" w:rsidP="00DE2357">
      <w:pPr>
        <w:numPr>
          <w:ilvl w:val="0"/>
          <w:numId w:val="6"/>
        </w:numPr>
        <w:rPr>
          <w:lang w:val="en-GB"/>
        </w:rPr>
      </w:pPr>
      <w:r w:rsidRPr="00DE2357">
        <w:rPr>
          <w:lang w:val="en-GB"/>
        </w:rPr>
        <w:t>during the rebalance process</w:t>
      </w:r>
      <w:r w:rsidR="3D4F3A6A" w:rsidRPr="7F1FAD06">
        <w:rPr>
          <w:lang w:val="en-GB"/>
        </w:rPr>
        <w:t>,</w:t>
      </w:r>
      <w:r w:rsidRPr="00DE2357">
        <w:rPr>
          <w:lang w:val="en-GB"/>
        </w:rPr>
        <w:t xml:space="preserve"> it is possible that the completion of a trade may be delayed</w:t>
      </w:r>
      <w:r w:rsidR="26F3AE01" w:rsidRPr="225AD0EC">
        <w:rPr>
          <w:lang w:val="en-GB"/>
        </w:rPr>
        <w:t>, and</w:t>
      </w:r>
    </w:p>
    <w:p w14:paraId="6CF38427" w14:textId="77777777" w:rsidR="00DE2357" w:rsidRPr="00DE2357" w:rsidRDefault="00DE2357" w:rsidP="00DE2357">
      <w:pPr>
        <w:numPr>
          <w:ilvl w:val="0"/>
          <w:numId w:val="6"/>
        </w:numPr>
        <w:rPr>
          <w:lang w:val="en-GB"/>
        </w:rPr>
      </w:pPr>
      <w:r w:rsidRPr="00DE2357">
        <w:rPr>
          <w:lang w:val="en-GB"/>
        </w:rPr>
        <w:t>system failures within the investment manager’s organisation may cause delays and inaccuracies.</w:t>
      </w:r>
    </w:p>
    <w:p w14:paraId="25CE4129" w14:textId="77777777" w:rsidR="00730768" w:rsidRDefault="00730768"/>
    <w:p w14:paraId="366B01DE" w14:textId="77777777" w:rsidR="00DE2357" w:rsidRDefault="00DE2357">
      <w:pPr>
        <w:rPr>
          <w:b/>
          <w:bCs/>
        </w:rPr>
      </w:pPr>
      <w:r w:rsidRPr="2FE4F856">
        <w:rPr>
          <w:b/>
          <w:bCs/>
        </w:rPr>
        <w:t>Benefits</w:t>
      </w:r>
    </w:p>
    <w:p w14:paraId="2D4CA68C" w14:textId="3ADAF561" w:rsidR="00DE2357" w:rsidRDefault="00DE2357">
      <w:r w:rsidRPr="00DE2357">
        <w:t xml:space="preserve">Investing into the </w:t>
      </w:r>
      <w:r w:rsidR="00EA31EA">
        <w:t xml:space="preserve">Optima </w:t>
      </w:r>
      <w:r w:rsidRPr="00DE2357">
        <w:t>managed accounts will allow you to benefit from a professionally managed portfolio, while retaining liquidity and the potential for long</w:t>
      </w:r>
      <w:r w:rsidR="38BFDA34">
        <w:t>-</w:t>
      </w:r>
      <w:r w:rsidRPr="00DE2357">
        <w:t>term capital appreciation.</w:t>
      </w:r>
    </w:p>
    <w:p w14:paraId="6F387255" w14:textId="77777777" w:rsidR="00D40C3C" w:rsidRDefault="00D40C3C"/>
    <w:tbl>
      <w:tblPr>
        <w:tblW w:w="9855" w:type="dxa"/>
        <w:tblLayout w:type="fixed"/>
        <w:tblLook w:val="04A0" w:firstRow="1" w:lastRow="0" w:firstColumn="1" w:lastColumn="0" w:noHBand="0" w:noVBand="1"/>
      </w:tblPr>
      <w:tblGrid>
        <w:gridCol w:w="2092"/>
        <w:gridCol w:w="7763"/>
      </w:tblGrid>
      <w:tr w:rsidR="00D40C3C" w:rsidRPr="00D40C3C" w14:paraId="75644BFC" w14:textId="77777777">
        <w:tc>
          <w:tcPr>
            <w:tcW w:w="2092" w:type="dxa"/>
            <w:hideMark/>
          </w:tcPr>
          <w:p w14:paraId="4AE1290B" w14:textId="77777777" w:rsidR="00D40C3C" w:rsidRPr="00D40C3C" w:rsidRDefault="00D40C3C" w:rsidP="00D40C3C">
            <w:pPr>
              <w:rPr>
                <w:b/>
                <w:bCs/>
                <w:lang w:val="en-US"/>
              </w:rPr>
            </w:pPr>
            <w:r w:rsidRPr="00D40C3C">
              <w:rPr>
                <w:b/>
                <w:bCs/>
                <w:lang w:val="en-US"/>
              </w:rPr>
              <w:t>Why this strategy is appropriate for you</w:t>
            </w:r>
          </w:p>
        </w:tc>
        <w:tc>
          <w:tcPr>
            <w:tcW w:w="7761" w:type="dxa"/>
            <w:hideMark/>
          </w:tcPr>
          <w:p w14:paraId="3AF055C6" w14:textId="77777777" w:rsidR="00D40C3C" w:rsidRPr="00D40C3C" w:rsidRDefault="00D40C3C" w:rsidP="00D40C3C">
            <w:pPr>
              <w:numPr>
                <w:ilvl w:val="0"/>
                <w:numId w:val="3"/>
              </w:numPr>
              <w:rPr>
                <w:lang w:val="en-US"/>
              </w:rPr>
            </w:pPr>
            <w:r w:rsidRPr="00D40C3C">
              <w:rPr>
                <w:lang w:val="en-US"/>
              </w:rPr>
              <w:t xml:space="preserve">Managed accounts allow us to appoint an external, professional investment manager to construct and manage the recommended portfolio and we have appointed Zenith Investment Partners (Zenith) as the investment manager to assist us in this solution. Through this approach, we can draw on Zenith’s expertise and resources on a continuous basis in managing the recommended portfolio to align with emerging market trends and economic conditions. </w:t>
            </w:r>
          </w:p>
          <w:p w14:paraId="31177169" w14:textId="607B3953" w:rsidR="00D40C3C" w:rsidRPr="00D40C3C" w:rsidRDefault="00D40C3C" w:rsidP="00D40C3C">
            <w:pPr>
              <w:numPr>
                <w:ilvl w:val="0"/>
                <w:numId w:val="3"/>
              </w:numPr>
              <w:rPr>
                <w:lang w:val="en-US"/>
              </w:rPr>
            </w:pPr>
            <w:r w:rsidRPr="00D40C3C">
              <w:rPr>
                <w:lang w:val="en-US"/>
              </w:rPr>
              <w:t xml:space="preserve">The recommended managed account was selected based on your needs &amp; objectives, investment horizon and risk tolerance level. </w:t>
            </w:r>
            <w:r w:rsidRPr="00D40C3C">
              <w:rPr>
                <w:lang w:val="en-US"/>
              </w:rPr>
              <w:lastRenderedPageBreak/>
              <w:t xml:space="preserve">The asset allocation and investment selection of this managed account are actively managed by Zenith and </w:t>
            </w:r>
            <w:r w:rsidR="00EA31EA">
              <w:rPr>
                <w:lang w:val="en-US"/>
              </w:rPr>
              <w:t>Forbes Fava Seville</w:t>
            </w:r>
            <w:r w:rsidRPr="00D40C3C">
              <w:rPr>
                <w:lang w:val="en-US"/>
              </w:rPr>
              <w:t xml:space="preserve">, according to the underlying investment strategy of the portfolio. </w:t>
            </w:r>
          </w:p>
          <w:p w14:paraId="6B6692DF" w14:textId="7CBBC0D9" w:rsidR="00D40C3C" w:rsidRPr="00D40C3C" w:rsidRDefault="00D40C3C" w:rsidP="00D40C3C">
            <w:pPr>
              <w:numPr>
                <w:ilvl w:val="0"/>
                <w:numId w:val="3"/>
              </w:numPr>
              <w:rPr>
                <w:lang w:val="en-US"/>
              </w:rPr>
            </w:pPr>
            <w:r w:rsidRPr="00D40C3C">
              <w:rPr>
                <w:lang w:val="en-US"/>
              </w:rPr>
              <w:t xml:space="preserve">Zenith and </w:t>
            </w:r>
            <w:r w:rsidR="00586EB2">
              <w:rPr>
                <w:lang w:val="en-US"/>
              </w:rPr>
              <w:t>Forbes Fava Seville</w:t>
            </w:r>
            <w:r w:rsidRPr="00D40C3C">
              <w:rPr>
                <w:lang w:val="en-US"/>
              </w:rPr>
              <w:t xml:space="preserve"> will monitor the </w:t>
            </w:r>
            <w:r w:rsidR="4C633A14" w:rsidRPr="196F13A5">
              <w:rPr>
                <w:lang w:val="en-US"/>
              </w:rPr>
              <w:t xml:space="preserve">ongoing </w:t>
            </w:r>
            <w:r w:rsidR="52D7262F" w:rsidRPr="196F13A5">
              <w:rPr>
                <w:lang w:val="en-US"/>
              </w:rPr>
              <w:t>performance</w:t>
            </w:r>
            <w:r w:rsidRPr="00D40C3C">
              <w:rPr>
                <w:lang w:val="en-US"/>
              </w:rPr>
              <w:t xml:space="preserve"> of the </w:t>
            </w:r>
            <w:r w:rsidR="00F01E0A">
              <w:rPr>
                <w:lang w:val="en-US"/>
              </w:rPr>
              <w:t>Optima</w:t>
            </w:r>
            <w:r w:rsidR="00BE1C3A">
              <w:rPr>
                <w:lang w:val="en-US"/>
              </w:rPr>
              <w:t xml:space="preserve"> </w:t>
            </w:r>
            <w:r w:rsidRPr="00D40C3C">
              <w:rPr>
                <w:lang w:val="en-US"/>
              </w:rPr>
              <w:t>portfolio</w:t>
            </w:r>
            <w:r w:rsidR="00BE1C3A">
              <w:rPr>
                <w:lang w:val="en-US"/>
              </w:rPr>
              <w:t>s</w:t>
            </w:r>
            <w:r w:rsidRPr="00D40C3C">
              <w:rPr>
                <w:lang w:val="en-US"/>
              </w:rPr>
              <w:t xml:space="preserve"> and make changes to the investment composition to suit market conditions. Once the underlying holdings are adjusted at the portfolio level, your managed account investment will be automatically rebalanced to align to this change. This removes the need for you to sign additional paperwork, increasing the timeliness and efficiency of implementation. </w:t>
            </w:r>
          </w:p>
          <w:p w14:paraId="591D6B06" w14:textId="77777777" w:rsidR="00D40C3C" w:rsidRPr="00D40C3C" w:rsidRDefault="00D40C3C" w:rsidP="00D40C3C">
            <w:pPr>
              <w:numPr>
                <w:ilvl w:val="0"/>
                <w:numId w:val="3"/>
              </w:numPr>
              <w:rPr>
                <w:lang w:val="en-US"/>
              </w:rPr>
            </w:pPr>
            <w:r w:rsidRPr="00D40C3C">
              <w:rPr>
                <w:lang w:val="en-US"/>
              </w:rPr>
              <w:t>Managed accounts operate as a Managed Investment Scheme under Corporations Law and must adhere to strict governance and regulatory requirements. This structure ensures that your portfolio is always managed and maintained within the agreed risk profile.</w:t>
            </w:r>
          </w:p>
          <w:p w14:paraId="589FA250" w14:textId="5212A619" w:rsidR="00D40C3C" w:rsidRPr="00D40C3C" w:rsidRDefault="00D40C3C" w:rsidP="00D40C3C">
            <w:pPr>
              <w:numPr>
                <w:ilvl w:val="0"/>
                <w:numId w:val="3"/>
              </w:numPr>
              <w:rPr>
                <w:lang w:val="en-US"/>
              </w:rPr>
            </w:pPr>
            <w:r w:rsidRPr="00D40C3C">
              <w:rPr>
                <w:lang w:val="en-US"/>
              </w:rPr>
              <w:t xml:space="preserve">You will be able to access detailed reporting to check the underlying investments and any changes made on your behalf. You will also receive quarterly portfolio updates from Zenith </w:t>
            </w:r>
            <w:r w:rsidR="7125D7B6" w:rsidRPr="2073AA22">
              <w:rPr>
                <w:lang w:val="en-US"/>
              </w:rPr>
              <w:t>about</w:t>
            </w:r>
            <w:r w:rsidRPr="00D40C3C">
              <w:rPr>
                <w:lang w:val="en-US"/>
              </w:rPr>
              <w:t xml:space="preserve"> the performance</w:t>
            </w:r>
            <w:r w:rsidR="7310B3A9" w:rsidRPr="302E6005">
              <w:rPr>
                <w:lang w:val="en-US"/>
              </w:rPr>
              <w:t>,</w:t>
            </w:r>
            <w:r w:rsidRPr="00D40C3C">
              <w:rPr>
                <w:lang w:val="en-US"/>
              </w:rPr>
              <w:t xml:space="preserve"> as well as any changes made within the quarter. </w:t>
            </w:r>
          </w:p>
          <w:p w14:paraId="7F22CECB" w14:textId="6121C18A" w:rsidR="00D40C3C" w:rsidRPr="00D40C3C" w:rsidRDefault="7E30F70B" w:rsidP="00D40C3C">
            <w:pPr>
              <w:numPr>
                <w:ilvl w:val="0"/>
                <w:numId w:val="3"/>
              </w:numPr>
              <w:rPr>
                <w:lang w:val="en-US"/>
              </w:rPr>
            </w:pPr>
            <w:r w:rsidRPr="38C01F11">
              <w:rPr>
                <w:lang w:val="en-US"/>
              </w:rPr>
              <w:t>A</w:t>
            </w:r>
            <w:r w:rsidR="00D40C3C" w:rsidRPr="00D40C3C">
              <w:rPr>
                <w:lang w:val="en-US"/>
              </w:rPr>
              <w:t xml:space="preserve"> managed account allows you to invest in a portfolio of professionally managed investments, while retaining ownership of the investments. It will also give you access to liquid investments that you can draw on at any time whilst achieving income and growth over the long term.</w:t>
            </w:r>
          </w:p>
        </w:tc>
      </w:tr>
      <w:tr w:rsidR="00D40C3C" w:rsidRPr="00D40C3C" w14:paraId="5C2CA247" w14:textId="77777777">
        <w:tc>
          <w:tcPr>
            <w:tcW w:w="2092" w:type="dxa"/>
          </w:tcPr>
          <w:p w14:paraId="23C407B2" w14:textId="77777777" w:rsidR="00D40C3C" w:rsidRPr="00D40C3C" w:rsidRDefault="00D40C3C" w:rsidP="00D40C3C">
            <w:pPr>
              <w:rPr>
                <w:b/>
                <w:bCs/>
                <w:lang w:val="en-US"/>
              </w:rPr>
            </w:pPr>
          </w:p>
        </w:tc>
        <w:tc>
          <w:tcPr>
            <w:tcW w:w="7761" w:type="dxa"/>
          </w:tcPr>
          <w:p w14:paraId="326808F6" w14:textId="77777777" w:rsidR="00D40C3C" w:rsidRPr="00D40C3C" w:rsidRDefault="00D40C3C" w:rsidP="00D40C3C">
            <w:pPr>
              <w:rPr>
                <w:lang w:val="en-US"/>
              </w:rPr>
            </w:pPr>
          </w:p>
        </w:tc>
      </w:tr>
      <w:tr w:rsidR="00D40C3C" w:rsidRPr="00D40C3C" w14:paraId="78AA490B" w14:textId="77777777">
        <w:tc>
          <w:tcPr>
            <w:tcW w:w="2092" w:type="dxa"/>
            <w:hideMark/>
          </w:tcPr>
          <w:p w14:paraId="375A60A0" w14:textId="77777777" w:rsidR="00D40C3C" w:rsidRPr="00CA385C" w:rsidRDefault="00D40C3C" w:rsidP="00D40C3C">
            <w:pPr>
              <w:rPr>
                <w:lang w:val="en-US"/>
              </w:rPr>
            </w:pPr>
            <w:r w:rsidRPr="00CA385C">
              <w:rPr>
                <w:lang w:val="en-US"/>
              </w:rPr>
              <w:t>Points you should consider</w:t>
            </w:r>
          </w:p>
        </w:tc>
        <w:tc>
          <w:tcPr>
            <w:tcW w:w="7761" w:type="dxa"/>
            <w:hideMark/>
          </w:tcPr>
          <w:p w14:paraId="2139A402" w14:textId="77777777" w:rsidR="00D40C3C" w:rsidRPr="00D40C3C" w:rsidRDefault="00D40C3C" w:rsidP="00D40C3C">
            <w:pPr>
              <w:numPr>
                <w:ilvl w:val="0"/>
                <w:numId w:val="9"/>
              </w:numPr>
              <w:rPr>
                <w:lang w:val="en-US"/>
              </w:rPr>
            </w:pPr>
            <w:r w:rsidRPr="00D40C3C">
              <w:rPr>
                <w:lang w:val="en-US"/>
              </w:rPr>
              <w:t>Investing in the recommended managed account requires additional fees to be paid.</w:t>
            </w:r>
          </w:p>
          <w:p w14:paraId="3B5597F3" w14:textId="19CC0DAF" w:rsidR="00D40C3C" w:rsidRPr="00CA385C" w:rsidRDefault="00D40C3C" w:rsidP="00D40C3C">
            <w:pPr>
              <w:numPr>
                <w:ilvl w:val="0"/>
                <w:numId w:val="5"/>
              </w:numPr>
              <w:rPr>
                <w:lang w:val="en-US"/>
              </w:rPr>
            </w:pPr>
            <w:r w:rsidRPr="00CA385C">
              <w:rPr>
                <w:lang w:val="en-US"/>
              </w:rPr>
              <w:t xml:space="preserve">Zenith charges an investment fee for </w:t>
            </w:r>
            <w:r w:rsidR="00586EB2" w:rsidRPr="00CA385C">
              <w:rPr>
                <w:lang w:val="en-US"/>
              </w:rPr>
              <w:t>providing</w:t>
            </w:r>
            <w:r w:rsidRPr="00CA385C">
              <w:rPr>
                <w:lang w:val="en-US"/>
              </w:rPr>
              <w:t xml:space="preserve"> their expertise and resources as the investment manager. </w:t>
            </w:r>
          </w:p>
          <w:p w14:paraId="5DB31A18" w14:textId="52F58BA2" w:rsidR="00D40C3C" w:rsidRPr="00CA385C" w:rsidRDefault="009A5279" w:rsidP="009A5279">
            <w:pPr>
              <w:numPr>
                <w:ilvl w:val="0"/>
                <w:numId w:val="5"/>
              </w:numPr>
              <w:rPr>
                <w:lang w:val="en-US"/>
              </w:rPr>
            </w:pPr>
            <w:r w:rsidRPr="00CA385C">
              <w:rPr>
                <w:lang w:val="en-US"/>
              </w:rPr>
              <w:t>Ironbark Asset Management Pty Ltd</w:t>
            </w:r>
            <w:r w:rsidR="00D40C3C" w:rsidRPr="00CA385C">
              <w:rPr>
                <w:lang w:val="en-US"/>
              </w:rPr>
              <w:t xml:space="preserve"> functions</w:t>
            </w:r>
            <w:r w:rsidRPr="00CA385C">
              <w:rPr>
                <w:lang w:val="en-US"/>
              </w:rPr>
              <w:t xml:space="preserve"> a</w:t>
            </w:r>
            <w:r w:rsidR="00D40C3C" w:rsidRPr="00CA385C">
              <w:rPr>
                <w:lang w:val="en-US"/>
              </w:rPr>
              <w:t xml:space="preserve">s the responsible entity for these accounts. They charge a percentage-based fee for the regulatory and legal obligations they undertake as the responsible entity. </w:t>
            </w:r>
          </w:p>
          <w:p w14:paraId="3AFCFC3C" w14:textId="2DD75883" w:rsidR="00D40C3C" w:rsidRPr="00D40C3C" w:rsidRDefault="00621AE8" w:rsidP="584168F7">
            <w:pPr>
              <w:ind w:left="720"/>
              <w:rPr>
                <w:lang w:val="en-US"/>
              </w:rPr>
            </w:pPr>
            <w:r>
              <w:rPr>
                <w:lang w:val="en-US"/>
              </w:rPr>
              <w:t>E</w:t>
            </w:r>
            <w:r w:rsidR="00A56A99">
              <w:rPr>
                <w:lang w:val="en-US"/>
              </w:rPr>
              <w:t>xpand</w:t>
            </w:r>
            <w:r w:rsidR="00D40C3C" w:rsidRPr="00D40C3C">
              <w:rPr>
                <w:lang w:val="en-US"/>
              </w:rPr>
              <w:t xml:space="preserve">, being the platform host of the recommended managed </w:t>
            </w:r>
            <w:r w:rsidR="005401EC">
              <w:rPr>
                <w:lang w:val="en-US"/>
              </w:rPr>
              <w:t xml:space="preserve">      </w:t>
            </w:r>
            <w:r w:rsidR="00D40C3C" w:rsidRPr="00D40C3C">
              <w:rPr>
                <w:lang w:val="en-US"/>
              </w:rPr>
              <w:t xml:space="preserve">account, will collect these fees monthly in arrears from the cash allocation of your portfolio on behalf of these entities. These costs </w:t>
            </w:r>
            <w:r w:rsidR="00D40C3C" w:rsidRPr="00D40C3C">
              <w:rPr>
                <w:lang w:val="en-US"/>
              </w:rPr>
              <w:lastRenderedPageBreak/>
              <w:t xml:space="preserve">are in addition to the investment fees (ICR) charged by the underlying fund managers. </w:t>
            </w:r>
          </w:p>
          <w:p w14:paraId="16656AC2" w14:textId="5E391F76" w:rsidR="00D40C3C" w:rsidRPr="00D40C3C" w:rsidRDefault="00D40C3C" w:rsidP="00D40C3C">
            <w:pPr>
              <w:numPr>
                <w:ilvl w:val="0"/>
                <w:numId w:val="9"/>
              </w:numPr>
              <w:rPr>
                <w:lang w:val="en-US"/>
              </w:rPr>
            </w:pPr>
            <w:r w:rsidRPr="00D40C3C">
              <w:rPr>
                <w:lang w:val="en-US"/>
              </w:rPr>
              <w:t xml:space="preserve">Although Zenith holds the primary responsibility for the ongoing management of the recommended managed account, initial portfolio selection as well as future investment changes will be actioned in collaboration with </w:t>
            </w:r>
            <w:r w:rsidR="00512773">
              <w:rPr>
                <w:lang w:val="en-US"/>
              </w:rPr>
              <w:t>Forbes Fava Seville</w:t>
            </w:r>
            <w:r w:rsidRPr="00D40C3C">
              <w:rPr>
                <w:lang w:val="en-US"/>
              </w:rPr>
              <w:t xml:space="preserve">. This allows us to ensure that the recommended portfolio continues to align with our investment philosophy and risk appetite. </w:t>
            </w:r>
          </w:p>
          <w:p w14:paraId="4BBD499A" w14:textId="77777777" w:rsidR="00D40C3C" w:rsidRPr="00D40C3C" w:rsidRDefault="00D40C3C" w:rsidP="00D40C3C">
            <w:pPr>
              <w:numPr>
                <w:ilvl w:val="0"/>
                <w:numId w:val="9"/>
              </w:numPr>
              <w:rPr>
                <w:lang w:val="en-US"/>
              </w:rPr>
            </w:pPr>
            <w:r w:rsidRPr="00D40C3C">
              <w:rPr>
                <w:lang w:val="en-US"/>
              </w:rPr>
              <w:t xml:space="preserve">Any future portfolio rebalances performed on your behalf may result in capital </w:t>
            </w:r>
            <w:proofErr w:type="gramStart"/>
            <w:r w:rsidRPr="00D40C3C">
              <w:rPr>
                <w:lang w:val="en-US"/>
              </w:rPr>
              <w:t>gains</w:t>
            </w:r>
            <w:proofErr w:type="gramEnd"/>
            <w:r w:rsidRPr="00D40C3C">
              <w:rPr>
                <w:lang w:val="en-US"/>
              </w:rPr>
              <w:t xml:space="preserve">/losses. </w:t>
            </w:r>
          </w:p>
          <w:p w14:paraId="37BD6A78" w14:textId="2C3FE9FF" w:rsidR="00D40C3C" w:rsidRPr="00D40C3C" w:rsidRDefault="00D40C3C" w:rsidP="00D40C3C">
            <w:pPr>
              <w:numPr>
                <w:ilvl w:val="0"/>
                <w:numId w:val="9"/>
              </w:numPr>
              <w:rPr>
                <w:lang w:val="en-US"/>
              </w:rPr>
            </w:pPr>
            <w:r w:rsidRPr="00D40C3C">
              <w:rPr>
                <w:lang w:val="en-US"/>
              </w:rPr>
              <w:t>While a rebalance within the recommended managed account will be automatically implemented, any changes to the rest of the portfolio or other actions such as contributions</w:t>
            </w:r>
            <w:r w:rsidR="53A38A54" w:rsidRPr="2D2AA60A">
              <w:rPr>
                <w:lang w:val="en-US"/>
              </w:rPr>
              <w:t xml:space="preserve"> </w:t>
            </w:r>
            <w:r w:rsidR="53A38A54" w:rsidRPr="745B53F4">
              <w:rPr>
                <w:lang w:val="en-US"/>
              </w:rPr>
              <w:t>or</w:t>
            </w:r>
            <w:r w:rsidRPr="00D40C3C">
              <w:rPr>
                <w:lang w:val="en-US"/>
              </w:rPr>
              <w:t xml:space="preserve"> withdrawals will still require your </w:t>
            </w:r>
            <w:proofErr w:type="spellStart"/>
            <w:r w:rsidRPr="00D40C3C">
              <w:rPr>
                <w:lang w:val="en-US"/>
              </w:rPr>
              <w:t>authorisation</w:t>
            </w:r>
            <w:proofErr w:type="spellEnd"/>
            <w:r w:rsidRPr="00D40C3C">
              <w:rPr>
                <w:lang w:val="en-US"/>
              </w:rPr>
              <w:t xml:space="preserve">. </w:t>
            </w:r>
          </w:p>
        </w:tc>
      </w:tr>
      <w:tr w:rsidR="005401EC" w:rsidRPr="00D40C3C" w14:paraId="5A91CB00" w14:textId="77777777">
        <w:tc>
          <w:tcPr>
            <w:tcW w:w="2092" w:type="dxa"/>
          </w:tcPr>
          <w:p w14:paraId="56DB03F0" w14:textId="77777777" w:rsidR="005401EC" w:rsidRPr="00CA385C" w:rsidRDefault="005401EC" w:rsidP="00D40C3C">
            <w:pPr>
              <w:rPr>
                <w:lang w:val="en-US"/>
              </w:rPr>
            </w:pPr>
          </w:p>
        </w:tc>
        <w:tc>
          <w:tcPr>
            <w:tcW w:w="7761" w:type="dxa"/>
          </w:tcPr>
          <w:p w14:paraId="2B32E541" w14:textId="77777777" w:rsidR="005401EC" w:rsidRPr="00D40C3C" w:rsidRDefault="005401EC" w:rsidP="005401EC">
            <w:pPr>
              <w:rPr>
                <w:lang w:val="en-US"/>
              </w:rPr>
            </w:pPr>
          </w:p>
        </w:tc>
      </w:tr>
    </w:tbl>
    <w:p w14:paraId="4F7DCA35" w14:textId="77777777" w:rsidR="00D40C3C" w:rsidRDefault="00D40C3C"/>
    <w:sectPr w:rsidR="00D40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rope Light">
    <w:altName w:val="Calibri"/>
    <w:panose1 w:val="00000000000000000000"/>
    <w:charset w:val="00"/>
    <w:family w:val="swiss"/>
    <w:notTrueType/>
    <w:pitch w:val="default"/>
    <w:sig w:usb0="00000003" w:usb1="00000000" w:usb2="00000000" w:usb3="00000000" w:csb0="00000001" w:csb1="00000000"/>
  </w:font>
  <w:font w:name="Manrope SemiBold">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ED0"/>
    <w:multiLevelType w:val="hybridMultilevel"/>
    <w:tmpl w:val="52B44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D9602A"/>
    <w:multiLevelType w:val="hybridMultilevel"/>
    <w:tmpl w:val="DB96C056"/>
    <w:lvl w:ilvl="0" w:tplc="0C09000D">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2FE77D43"/>
    <w:multiLevelType w:val="hybridMultilevel"/>
    <w:tmpl w:val="7F4AC1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18D108B"/>
    <w:multiLevelType w:val="multilevel"/>
    <w:tmpl w:val="8AA211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4BE73109"/>
    <w:multiLevelType w:val="hybridMultilevel"/>
    <w:tmpl w:val="C8E206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2546BA2"/>
    <w:multiLevelType w:val="multilevel"/>
    <w:tmpl w:val="DF1CED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69C735A2"/>
    <w:multiLevelType w:val="hybridMultilevel"/>
    <w:tmpl w:val="98823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44957A0"/>
    <w:multiLevelType w:val="hybridMultilevel"/>
    <w:tmpl w:val="B99402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4AD72AC"/>
    <w:multiLevelType w:val="hybridMultilevel"/>
    <w:tmpl w:val="37D8A3A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16cid:durableId="1031494452">
    <w:abstractNumId w:val="7"/>
  </w:num>
  <w:num w:numId="2" w16cid:durableId="1049844933">
    <w:abstractNumId w:val="4"/>
  </w:num>
  <w:num w:numId="3" w16cid:durableId="1454637570">
    <w:abstractNumId w:val="5"/>
  </w:num>
  <w:num w:numId="4" w16cid:durableId="1606958437">
    <w:abstractNumId w:val="0"/>
  </w:num>
  <w:num w:numId="5" w16cid:durableId="1951620796">
    <w:abstractNumId w:val="8"/>
  </w:num>
  <w:num w:numId="6" w16cid:durableId="49698291">
    <w:abstractNumId w:val="1"/>
  </w:num>
  <w:num w:numId="7" w16cid:durableId="567226169">
    <w:abstractNumId w:val="6"/>
  </w:num>
  <w:num w:numId="8" w16cid:durableId="977490676">
    <w:abstractNumId w:val="2"/>
  </w:num>
  <w:num w:numId="9" w16cid:durableId="99573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57"/>
    <w:rsid w:val="00031E7E"/>
    <w:rsid w:val="000338D1"/>
    <w:rsid w:val="00050100"/>
    <w:rsid w:val="00055D55"/>
    <w:rsid w:val="00080158"/>
    <w:rsid w:val="001679DD"/>
    <w:rsid w:val="00194043"/>
    <w:rsid w:val="001948A5"/>
    <w:rsid w:val="001A5D0A"/>
    <w:rsid w:val="001D0B6A"/>
    <w:rsid w:val="00212A49"/>
    <w:rsid w:val="00272E75"/>
    <w:rsid w:val="00283C4D"/>
    <w:rsid w:val="002B0ED3"/>
    <w:rsid w:val="002B4C59"/>
    <w:rsid w:val="002D7569"/>
    <w:rsid w:val="002F2AEF"/>
    <w:rsid w:val="003037C6"/>
    <w:rsid w:val="0031371D"/>
    <w:rsid w:val="0034619F"/>
    <w:rsid w:val="00360079"/>
    <w:rsid w:val="003723A0"/>
    <w:rsid w:val="003823B4"/>
    <w:rsid w:val="003A5870"/>
    <w:rsid w:val="003C31D1"/>
    <w:rsid w:val="003C5266"/>
    <w:rsid w:val="00400A87"/>
    <w:rsid w:val="00417F9C"/>
    <w:rsid w:val="00435631"/>
    <w:rsid w:val="00462B47"/>
    <w:rsid w:val="004A756C"/>
    <w:rsid w:val="004C3BFE"/>
    <w:rsid w:val="004D010B"/>
    <w:rsid w:val="004F08F3"/>
    <w:rsid w:val="00504DEB"/>
    <w:rsid w:val="00512773"/>
    <w:rsid w:val="00515997"/>
    <w:rsid w:val="005176FF"/>
    <w:rsid w:val="0053033A"/>
    <w:rsid w:val="00532F8B"/>
    <w:rsid w:val="005401EC"/>
    <w:rsid w:val="00543E11"/>
    <w:rsid w:val="0056696E"/>
    <w:rsid w:val="00586EB2"/>
    <w:rsid w:val="00587B9E"/>
    <w:rsid w:val="00590DF3"/>
    <w:rsid w:val="00595604"/>
    <w:rsid w:val="005A142E"/>
    <w:rsid w:val="005E20A6"/>
    <w:rsid w:val="0060344E"/>
    <w:rsid w:val="00621AE8"/>
    <w:rsid w:val="006A2593"/>
    <w:rsid w:val="00717BA4"/>
    <w:rsid w:val="00730768"/>
    <w:rsid w:val="0073277B"/>
    <w:rsid w:val="00790F8A"/>
    <w:rsid w:val="007B1916"/>
    <w:rsid w:val="008477D1"/>
    <w:rsid w:val="00847F16"/>
    <w:rsid w:val="0085063A"/>
    <w:rsid w:val="0089286D"/>
    <w:rsid w:val="00894223"/>
    <w:rsid w:val="008A4A8F"/>
    <w:rsid w:val="008C2DA2"/>
    <w:rsid w:val="008C44F8"/>
    <w:rsid w:val="008D7AC1"/>
    <w:rsid w:val="008E1938"/>
    <w:rsid w:val="008E5C14"/>
    <w:rsid w:val="00921E36"/>
    <w:rsid w:val="00937A7B"/>
    <w:rsid w:val="00955852"/>
    <w:rsid w:val="009A5279"/>
    <w:rsid w:val="00A3062A"/>
    <w:rsid w:val="00A56A99"/>
    <w:rsid w:val="00AE08FC"/>
    <w:rsid w:val="00B025C1"/>
    <w:rsid w:val="00B02D1E"/>
    <w:rsid w:val="00B06C30"/>
    <w:rsid w:val="00B37E41"/>
    <w:rsid w:val="00B94C1E"/>
    <w:rsid w:val="00BA2A19"/>
    <w:rsid w:val="00BE0ED1"/>
    <w:rsid w:val="00BE1C3A"/>
    <w:rsid w:val="00BE6CF2"/>
    <w:rsid w:val="00C22EFD"/>
    <w:rsid w:val="00C33498"/>
    <w:rsid w:val="00C5229B"/>
    <w:rsid w:val="00C532CB"/>
    <w:rsid w:val="00C73BC6"/>
    <w:rsid w:val="00C863CF"/>
    <w:rsid w:val="00CA385C"/>
    <w:rsid w:val="00CD1860"/>
    <w:rsid w:val="00D23C74"/>
    <w:rsid w:val="00D30FB4"/>
    <w:rsid w:val="00D40C3C"/>
    <w:rsid w:val="00D95F2D"/>
    <w:rsid w:val="00DB244B"/>
    <w:rsid w:val="00DE2357"/>
    <w:rsid w:val="00E55B2E"/>
    <w:rsid w:val="00E95F61"/>
    <w:rsid w:val="00EA31EA"/>
    <w:rsid w:val="00EA328C"/>
    <w:rsid w:val="00F00876"/>
    <w:rsid w:val="00F01E0A"/>
    <w:rsid w:val="00F15CBA"/>
    <w:rsid w:val="00F56D41"/>
    <w:rsid w:val="00FA1A7A"/>
    <w:rsid w:val="00FA2A7D"/>
    <w:rsid w:val="00FB3F1B"/>
    <w:rsid w:val="00FD031A"/>
    <w:rsid w:val="00FE3395"/>
    <w:rsid w:val="01A8B14A"/>
    <w:rsid w:val="02E7F382"/>
    <w:rsid w:val="03E322CB"/>
    <w:rsid w:val="0760AB1F"/>
    <w:rsid w:val="07B5945D"/>
    <w:rsid w:val="07BEECC9"/>
    <w:rsid w:val="0B949739"/>
    <w:rsid w:val="0CB3125F"/>
    <w:rsid w:val="0F9B8BC0"/>
    <w:rsid w:val="10D45AD9"/>
    <w:rsid w:val="11EAE66C"/>
    <w:rsid w:val="13A32F64"/>
    <w:rsid w:val="166F9663"/>
    <w:rsid w:val="1771991E"/>
    <w:rsid w:val="17D41266"/>
    <w:rsid w:val="196F13A5"/>
    <w:rsid w:val="1A9407C3"/>
    <w:rsid w:val="1C95F6F4"/>
    <w:rsid w:val="1D9C0C88"/>
    <w:rsid w:val="1F46181E"/>
    <w:rsid w:val="2073AA22"/>
    <w:rsid w:val="20A85584"/>
    <w:rsid w:val="2141AC08"/>
    <w:rsid w:val="21AADE4C"/>
    <w:rsid w:val="21F23766"/>
    <w:rsid w:val="225AD0EC"/>
    <w:rsid w:val="228B03B0"/>
    <w:rsid w:val="249A470E"/>
    <w:rsid w:val="2570DB21"/>
    <w:rsid w:val="26BBBB8A"/>
    <w:rsid w:val="26F3AE01"/>
    <w:rsid w:val="27442E3C"/>
    <w:rsid w:val="27F3A90D"/>
    <w:rsid w:val="27F51832"/>
    <w:rsid w:val="27FFDF5C"/>
    <w:rsid w:val="28CC2449"/>
    <w:rsid w:val="2C1FFD13"/>
    <w:rsid w:val="2C3363D3"/>
    <w:rsid w:val="2D2AA60A"/>
    <w:rsid w:val="2EF57B22"/>
    <w:rsid w:val="2FE4F856"/>
    <w:rsid w:val="3023A9A6"/>
    <w:rsid w:val="302E6005"/>
    <w:rsid w:val="30CB8166"/>
    <w:rsid w:val="31E1DA33"/>
    <w:rsid w:val="32A13377"/>
    <w:rsid w:val="32D3FA7B"/>
    <w:rsid w:val="34C3CCE9"/>
    <w:rsid w:val="3708892C"/>
    <w:rsid w:val="377A9D1F"/>
    <w:rsid w:val="37E9F86D"/>
    <w:rsid w:val="38BFDA34"/>
    <w:rsid w:val="38C01F11"/>
    <w:rsid w:val="39E10C05"/>
    <w:rsid w:val="3AD5A6CC"/>
    <w:rsid w:val="3BD21D7A"/>
    <w:rsid w:val="3BE26C11"/>
    <w:rsid w:val="3C956C55"/>
    <w:rsid w:val="3D4F3A6A"/>
    <w:rsid w:val="3D5D72CD"/>
    <w:rsid w:val="3EA1F469"/>
    <w:rsid w:val="3F940D3F"/>
    <w:rsid w:val="418F0E69"/>
    <w:rsid w:val="46F16B4B"/>
    <w:rsid w:val="475E1CBC"/>
    <w:rsid w:val="49BE3F59"/>
    <w:rsid w:val="4A34A74A"/>
    <w:rsid w:val="4AAD942C"/>
    <w:rsid w:val="4B89FA46"/>
    <w:rsid w:val="4C633A14"/>
    <w:rsid w:val="4DA54B89"/>
    <w:rsid w:val="4ED6C876"/>
    <w:rsid w:val="504B7906"/>
    <w:rsid w:val="509A5AC1"/>
    <w:rsid w:val="50C7BC69"/>
    <w:rsid w:val="5147FE22"/>
    <w:rsid w:val="52D7262F"/>
    <w:rsid w:val="53966A57"/>
    <w:rsid w:val="53A38A54"/>
    <w:rsid w:val="54C38B34"/>
    <w:rsid w:val="5573D135"/>
    <w:rsid w:val="55E6D5C7"/>
    <w:rsid w:val="569F0133"/>
    <w:rsid w:val="57FBF725"/>
    <w:rsid w:val="584168F7"/>
    <w:rsid w:val="5B0D281B"/>
    <w:rsid w:val="5B615466"/>
    <w:rsid w:val="5D50902D"/>
    <w:rsid w:val="5E51B005"/>
    <w:rsid w:val="60C2EFDF"/>
    <w:rsid w:val="6124CCAD"/>
    <w:rsid w:val="6220CA3B"/>
    <w:rsid w:val="62257C54"/>
    <w:rsid w:val="62A0D49F"/>
    <w:rsid w:val="62EA9A41"/>
    <w:rsid w:val="64174931"/>
    <w:rsid w:val="6A0E8003"/>
    <w:rsid w:val="6BCDEAA6"/>
    <w:rsid w:val="6C001D18"/>
    <w:rsid w:val="6D1FB341"/>
    <w:rsid w:val="6EC5832D"/>
    <w:rsid w:val="7018A08B"/>
    <w:rsid w:val="7097CAC6"/>
    <w:rsid w:val="7125D7B6"/>
    <w:rsid w:val="717CBD65"/>
    <w:rsid w:val="7210C2A6"/>
    <w:rsid w:val="7310B3A9"/>
    <w:rsid w:val="73C51C2F"/>
    <w:rsid w:val="73D0A1D1"/>
    <w:rsid w:val="7418DAE0"/>
    <w:rsid w:val="745B53F4"/>
    <w:rsid w:val="75F8135D"/>
    <w:rsid w:val="77C11CCE"/>
    <w:rsid w:val="7835AFA0"/>
    <w:rsid w:val="79038BB1"/>
    <w:rsid w:val="7C7F9695"/>
    <w:rsid w:val="7E30F70B"/>
    <w:rsid w:val="7F1FAD06"/>
    <w:rsid w:val="7F480D58"/>
    <w:rsid w:val="7FAA7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6198"/>
  <w15:chartTrackingRefBased/>
  <w15:docId w15:val="{7CAD34A6-2D5D-43E7-833C-6FAC1723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357"/>
    <w:rPr>
      <w:rFonts w:eastAsiaTheme="majorEastAsia" w:cstheme="majorBidi"/>
      <w:color w:val="272727" w:themeColor="text1" w:themeTint="D8"/>
    </w:rPr>
  </w:style>
  <w:style w:type="paragraph" w:styleId="Title">
    <w:name w:val="Title"/>
    <w:basedOn w:val="Normal"/>
    <w:next w:val="Normal"/>
    <w:link w:val="TitleChar"/>
    <w:uiPriority w:val="10"/>
    <w:qFormat/>
    <w:rsid w:val="00DE2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357"/>
    <w:pPr>
      <w:spacing w:before="160"/>
      <w:jc w:val="center"/>
    </w:pPr>
    <w:rPr>
      <w:i/>
      <w:iCs/>
      <w:color w:val="404040" w:themeColor="text1" w:themeTint="BF"/>
    </w:rPr>
  </w:style>
  <w:style w:type="character" w:customStyle="1" w:styleId="QuoteChar">
    <w:name w:val="Quote Char"/>
    <w:basedOn w:val="DefaultParagraphFont"/>
    <w:link w:val="Quote"/>
    <w:uiPriority w:val="29"/>
    <w:rsid w:val="00DE2357"/>
    <w:rPr>
      <w:i/>
      <w:iCs/>
      <w:color w:val="404040" w:themeColor="text1" w:themeTint="BF"/>
    </w:rPr>
  </w:style>
  <w:style w:type="paragraph" w:styleId="ListParagraph">
    <w:name w:val="List Paragraph"/>
    <w:basedOn w:val="Normal"/>
    <w:uiPriority w:val="34"/>
    <w:qFormat/>
    <w:rsid w:val="00DE2357"/>
    <w:pPr>
      <w:ind w:left="720"/>
      <w:contextualSpacing/>
    </w:pPr>
  </w:style>
  <w:style w:type="character" w:styleId="IntenseEmphasis">
    <w:name w:val="Intense Emphasis"/>
    <w:basedOn w:val="DefaultParagraphFont"/>
    <w:uiPriority w:val="21"/>
    <w:qFormat/>
    <w:rsid w:val="00DE2357"/>
    <w:rPr>
      <w:i/>
      <w:iCs/>
      <w:color w:val="0F4761" w:themeColor="accent1" w:themeShade="BF"/>
    </w:rPr>
  </w:style>
  <w:style w:type="paragraph" w:styleId="IntenseQuote">
    <w:name w:val="Intense Quote"/>
    <w:basedOn w:val="Normal"/>
    <w:next w:val="Normal"/>
    <w:link w:val="IntenseQuoteChar"/>
    <w:uiPriority w:val="30"/>
    <w:qFormat/>
    <w:rsid w:val="00DE2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357"/>
    <w:rPr>
      <w:i/>
      <w:iCs/>
      <w:color w:val="0F4761" w:themeColor="accent1" w:themeShade="BF"/>
    </w:rPr>
  </w:style>
  <w:style w:type="character" w:styleId="IntenseReference">
    <w:name w:val="Intense Reference"/>
    <w:basedOn w:val="DefaultParagraphFont"/>
    <w:uiPriority w:val="32"/>
    <w:qFormat/>
    <w:rsid w:val="00DE2357"/>
    <w:rPr>
      <w:b/>
      <w:bCs/>
      <w:smallCaps/>
      <w:color w:val="0F4761" w:themeColor="accent1" w:themeShade="BF"/>
      <w:spacing w:val="5"/>
    </w:rPr>
  </w:style>
  <w:style w:type="paragraph" w:customStyle="1" w:styleId="Pa8">
    <w:name w:val="Pa8"/>
    <w:basedOn w:val="Normal"/>
    <w:next w:val="Normal"/>
    <w:uiPriority w:val="99"/>
    <w:rsid w:val="004F08F3"/>
    <w:pPr>
      <w:autoSpaceDE w:val="0"/>
      <w:autoSpaceDN w:val="0"/>
      <w:adjustRightInd w:val="0"/>
      <w:spacing w:after="0" w:line="161" w:lineRule="atLeast"/>
    </w:pPr>
    <w:rPr>
      <w:rFonts w:ascii="Manrope Light" w:hAnsi="Manrope Light"/>
      <w:kern w:val="0"/>
    </w:rPr>
  </w:style>
  <w:style w:type="paragraph" w:customStyle="1" w:styleId="Pa2">
    <w:name w:val="Pa2"/>
    <w:basedOn w:val="Normal"/>
    <w:next w:val="Normal"/>
    <w:uiPriority w:val="99"/>
    <w:rsid w:val="009A5279"/>
    <w:pPr>
      <w:autoSpaceDE w:val="0"/>
      <w:autoSpaceDN w:val="0"/>
      <w:adjustRightInd w:val="0"/>
      <w:spacing w:after="0" w:line="171" w:lineRule="atLeast"/>
    </w:pPr>
    <w:rPr>
      <w:rFonts w:ascii="Manrope SemiBold" w:hAnsi="Manrope SemiBold"/>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1804</Words>
  <Characters>10703</Characters>
  <Application>Microsoft Office Word</Application>
  <DocSecurity>0</DocSecurity>
  <Lines>248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Agustin</dc:creator>
  <cp:keywords/>
  <dc:description/>
  <cp:lastModifiedBy>Kyla Agustin</cp:lastModifiedBy>
  <cp:revision>2</cp:revision>
  <dcterms:created xsi:type="dcterms:W3CDTF">2025-12-19T03:43:00Z</dcterms:created>
  <dcterms:modified xsi:type="dcterms:W3CDTF">2025-12-19T03:43:00Z</dcterms:modified>
</cp:coreProperties>
</file>